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C01D3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</w:t>
      </w:r>
      <w:r w:rsidR="00992108">
        <w:rPr>
          <w:rFonts w:ascii="Times New Roman" w:hAnsi="Times New Roman"/>
          <w:sz w:val="28"/>
          <w:szCs w:val="28"/>
        </w:rPr>
        <w:t>143</w:t>
      </w:r>
      <w:r w:rsidR="008C01D3">
        <w:rPr>
          <w:rFonts w:ascii="Times New Roman" w:hAnsi="Times New Roman"/>
          <w:sz w:val="28"/>
          <w:szCs w:val="28"/>
        </w:rPr>
        <w:t xml:space="preserve">-п от </w:t>
      </w:r>
      <w:r w:rsidR="00992108">
        <w:rPr>
          <w:rFonts w:ascii="Times New Roman" w:hAnsi="Times New Roman"/>
          <w:sz w:val="28"/>
          <w:szCs w:val="28"/>
        </w:rPr>
        <w:t xml:space="preserve">11.10.2024 </w:t>
      </w:r>
      <w:r w:rsidR="008C01D3">
        <w:rPr>
          <w:rFonts w:ascii="Times New Roman" w:hAnsi="Times New Roman"/>
          <w:sz w:val="28"/>
          <w:szCs w:val="28"/>
        </w:rPr>
        <w:t>г.</w:t>
      </w:r>
      <w:r w:rsidR="002553EB">
        <w:rPr>
          <w:rFonts w:ascii="Times New Roman" w:hAnsi="Times New Roman"/>
          <w:sz w:val="28"/>
          <w:szCs w:val="28"/>
        </w:rPr>
        <w:t>, №_______от_________</w:t>
      </w:r>
      <w:r w:rsidR="008C01D3">
        <w:rPr>
          <w:rFonts w:ascii="Times New Roman" w:hAnsi="Times New Roman"/>
          <w:sz w:val="28"/>
          <w:szCs w:val="28"/>
        </w:rPr>
        <w:t xml:space="preserve">) </w:t>
      </w:r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качественного образования на территории Шербакульского 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</w:t>
            </w:r>
            <w:r w:rsidR="002553EB">
              <w:rPr>
                <w:rFonts w:ascii="Times New Roman" w:hAnsi="Times New Roman"/>
                <w:sz w:val="28"/>
                <w:szCs w:val="28"/>
              </w:rPr>
              <w:t>453585</w:t>
            </w:r>
            <w:r w:rsidR="005D6619">
              <w:rPr>
                <w:rFonts w:ascii="Times New Roman" w:hAnsi="Times New Roman"/>
                <w:sz w:val="28"/>
                <w:szCs w:val="28"/>
              </w:rPr>
              <w:t>,</w:t>
            </w:r>
            <w:r w:rsidR="002553EB">
              <w:rPr>
                <w:rFonts w:ascii="Times New Roman" w:hAnsi="Times New Roman"/>
                <w:sz w:val="28"/>
                <w:szCs w:val="28"/>
              </w:rPr>
              <w:t>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30198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484870,4</w:t>
            </w:r>
            <w:r w:rsidR="007216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F4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F40A6">
              <w:rPr>
                <w:rFonts w:ascii="Times New Roman" w:hAnsi="Times New Roman"/>
                <w:color w:val="000000"/>
                <w:sz w:val="28"/>
                <w:szCs w:val="28"/>
              </w:rPr>
              <w:t>451482,5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E22649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Шербакульского муниципального района Омской области;</w:t>
            </w:r>
          </w:p>
          <w:p w:rsidR="000D552A" w:rsidRPr="00136905" w:rsidRDefault="000D552A" w:rsidP="000D552A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использующих федеральные государственные образовательные стандарты;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удельный вес выпускников муниципальных общеобразовательных учреждений, сдавших единый государственный экзамен, от числа выпускников муниципальных общеобразовательных учреждений, участвовавших в ЕГЭ;</w:t>
            </w:r>
          </w:p>
          <w:p w:rsidR="0090377C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субсидия;</w:t>
            </w:r>
          </w:p>
          <w:p w:rsid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униципальными образовательными организациями получено положительное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муниципального района;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5E4B14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5E4B14" w:rsidRPr="00AE0A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080BA6" w:rsidP="00080BA6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80BA6">
              <w:rPr>
                <w:rFonts w:ascii="Times New Roman" w:hAnsi="Times New Roman"/>
                <w:sz w:val="28"/>
                <w:szCs w:val="28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 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5E4B14" w:rsidRPr="0013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граждан, зарегистрированных в качестве безработных 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казенном учреждении Омской области-центра занятости населения;</w:t>
            </w:r>
          </w:p>
          <w:p w:rsidR="005E4B14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на общественные работы граждан, ищущих работу и обратившихся в казенное учреждение Омской области "Центр занятости населения </w:t>
            </w:r>
            <w:r w:rsidR="00390CD4" w:rsidRPr="00190F0A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E13D1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Шербакульского муниципального района Омской области, которым предоставлены средства указанной субсидии на соответствующие цели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3D1" w:rsidRPr="001D5153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13D1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D5153" w:rsidRPr="00AE13D1" w:rsidRDefault="001D5153" w:rsidP="001D51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беспечены пункты проведения экзаменов для государственной итоговой аттестации по образовательным программам основного общего и среднего общего образования, </w:t>
            </w:r>
            <w:proofErr w:type="spellStart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>огранизованные</w:t>
            </w:r>
            <w:proofErr w:type="spellEnd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 на базе муниципальных 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экзаменов" для связи с личным кабинетом пункта проведения экзаменов,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соответствующим требованиям;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862446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862446" w:rsidRPr="00136905">
              <w:rPr>
                <w:rFonts w:ascii="Times New Roman" w:eastAsiaTheme="minorHAnsi" w:hAnsi="Times New Roman"/>
                <w:sz w:val="28"/>
                <w:szCs w:val="28"/>
              </w:rPr>
              <w:t>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62907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профилей;</w:t>
            </w:r>
          </w:p>
          <w:p w:rsidR="00AE0AEC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дополнительно привлеченных к занятиям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занятий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численность детей родители, которых получают компенсацию части родительской платы за содержание ребенка в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образовательных организациях, реализующих образовательную программу дошкольного образования;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дошкольных 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390CD4" w:rsidRPr="00190F0A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обеспеченных методическим и техническим сопровождением;</w:t>
            </w:r>
          </w:p>
          <w:p w:rsidR="00162907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число образовательных учреждений, участвующих в разных конкурсах на базе ресурсного центра;</w:t>
            </w:r>
          </w:p>
          <w:p w:rsidR="00B87F30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образо-вательных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учреждений, обеспеченных учебно-методическим, информационно-кадровым и техническим сопровождением;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 xml:space="preserve">ень 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>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научно-практических конференций;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доля образовательных учреждений, участвующих в олимпиадах, конкурсах и других мероприятиях;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в которых получают поощрение талантливые дети и молодежь;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граждан, получивших меры поддержки по договору о целевом обучение;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оздоровление детей в детском оздоровительном лагере «Смена»;</w:t>
            </w:r>
          </w:p>
          <w:p w:rsidR="00390CD4" w:rsidRPr="007F3D69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занятых детей в системе дополнительного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области;</w:t>
            </w:r>
          </w:p>
          <w:p w:rsidR="0066099E" w:rsidRPr="0066099E" w:rsidRDefault="00AF0498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F0498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66099E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E709CF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исленность обучающихся </w:t>
            </w:r>
            <w:proofErr w:type="spellStart"/>
            <w:proofErr w:type="gramStart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вательных</w:t>
            </w:r>
            <w:proofErr w:type="spellEnd"/>
            <w:proofErr w:type="gramEnd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 и взрослого нас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еления, сдавших тесты ВСФК «ГТО»</w:t>
            </w:r>
            <w:r w:rsidR="00E91A65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30929" w:rsidRPr="00136905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к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детей в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возрасте от 5 до 18 лет, охваченных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 xml:space="preserve">системой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lastRenderedPageBreak/>
              <w:t>персонифицированного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финансирования дополнительного образования детей;</w:t>
            </w:r>
          </w:p>
          <w:p w:rsidR="00130929" w:rsidRPr="0066099E" w:rsidRDefault="00660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6099E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ень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 w:rsidR="00130929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0929" w:rsidRPr="00B832FC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32FC" w:rsidRPr="00B832FC" w:rsidRDefault="00B832F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832FC">
              <w:rPr>
                <w:rFonts w:ascii="Times New Roman" w:hAnsi="Times New Roman"/>
                <w:sz w:val="28"/>
                <w:szCs w:val="28"/>
              </w:rPr>
              <w:t>количество введённых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2429" w:rsidRPr="00A52429" w:rsidRDefault="00746E7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46E79"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1A65" w:rsidRPr="00136905" w:rsidRDefault="00E91A6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4B85" w:rsidRPr="00136905">
              <w:rPr>
                <w:rFonts w:ascii="Times New Roman" w:eastAsiaTheme="minorHAnsi" w:hAnsi="Times New Roman"/>
                <w:sz w:val="28"/>
                <w:szCs w:val="28"/>
              </w:rPr>
              <w:t>доля семей опекаемых детей, находящихся под контролем отдела опеки и попечительства;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приемных семей, которым представлены меры социальной поддержки;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детей, находящихся под опекой (попечительством), на которых выплачивается денежное вознаграждение;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безбарьерная</w:t>
            </w:r>
            <w:proofErr w:type="spell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Шербакульского муниципального района;</w:t>
            </w:r>
          </w:p>
          <w:p w:rsidR="005C4B85" w:rsidRPr="00136905" w:rsidRDefault="00AA2A2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детей-инвалидов, обучающихся с использованием дистанционных образовательных технологий;</w:t>
            </w:r>
          </w:p>
          <w:p w:rsidR="00AA2A26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с ограниченными возможностями здоровья общеобразовательных учреждений, получающих бесплатное двухразовое питание;</w:t>
            </w:r>
          </w:p>
          <w:p w:rsidR="000F3649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учреждений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136905"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подведомственных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органам управления в сфере образования</w:t>
            </w:r>
            <w:r w:rsidR="00CB2696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B2696" w:rsidRPr="00136905" w:rsidRDefault="00CB269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несовершеннолетних детей, на которых распространяется организационная деятельность органов управления в сфере опеки и попечительства;</w:t>
            </w:r>
          </w:p>
          <w:p w:rsidR="00AC799E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обновленного</w:t>
            </w:r>
            <w:r w:rsidR="00AC799E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в текущем году компьютерного оборудования;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 обеспечивших проведение специальной оценки условий труда работников;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человек, прошедших обучение по охране труда;</w:t>
            </w:r>
          </w:p>
          <w:p w:rsidR="00AC799E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работников центра Шербакульского муниц</w:t>
            </w:r>
            <w:r w:rsidR="005B49AF">
              <w:rPr>
                <w:rFonts w:ascii="Times New Roman" w:eastAsiaTheme="minorHAnsi" w:hAnsi="Times New Roman"/>
                <w:sz w:val="28"/>
                <w:szCs w:val="28"/>
              </w:rPr>
              <w:t>ипального района Омской области</w:t>
            </w:r>
          </w:p>
          <w:p w:rsidR="007A4853" w:rsidRPr="007A4853" w:rsidRDefault="005B49AF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B49AF">
              <w:rPr>
                <w:rFonts w:ascii="Times New Roman" w:hAnsi="Times New Roman"/>
                <w:sz w:val="28"/>
                <w:szCs w:val="28"/>
              </w:rPr>
              <w:t>отсутствие по состоянию на 1 января года, следующего за отчетным, у муниципальных учреждений, осуществляющих расходы за счет средств субсидии, кредиторской задолженности за тепловое снабжение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49AF" w:rsidRPr="00F3158C" w:rsidRDefault="007A4853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4853">
              <w:rPr>
                <w:rFonts w:ascii="Times New Roman" w:hAnsi="Times New Roman"/>
                <w:sz w:val="28"/>
                <w:szCs w:val="28"/>
              </w:rPr>
              <w:t>доля обучающихся в муниципальных образовательных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 (далее – мобилизованные), обеспеченных дополнительными мерами социальной 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  <w:r w:rsidR="00F315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57) д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 в муниципальных образовательных организациях, являющихся членами семей участников специальной военной операции, 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которые предусмотрены Указом Губернатора Омской области от 3 августа 2023 года N 181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3</w:t>
      </w:r>
      <w:r w:rsidR="002553EB">
        <w:rPr>
          <w:rFonts w:ascii="Times New Roman" w:hAnsi="Times New Roman"/>
          <w:sz w:val="28"/>
          <w:szCs w:val="28"/>
        </w:rPr>
        <w:t>453585</w:t>
      </w:r>
      <w:r w:rsidR="005D6619">
        <w:rPr>
          <w:rFonts w:ascii="Times New Roman" w:hAnsi="Times New Roman"/>
          <w:sz w:val="28"/>
          <w:szCs w:val="28"/>
        </w:rPr>
        <w:t>,</w:t>
      </w:r>
      <w:r w:rsidR="002553EB">
        <w:rPr>
          <w:rFonts w:ascii="Times New Roman" w:hAnsi="Times New Roman"/>
          <w:sz w:val="28"/>
          <w:szCs w:val="28"/>
        </w:rPr>
        <w:t>8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553EB">
        <w:rPr>
          <w:rFonts w:ascii="Times New Roman" w:hAnsi="Times New Roman"/>
          <w:sz w:val="28"/>
          <w:szCs w:val="28"/>
        </w:rPr>
        <w:t>905251,3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6</w:t>
      </w:r>
      <w:r w:rsidR="002553EB">
        <w:rPr>
          <w:rFonts w:ascii="Times New Roman" w:hAnsi="Times New Roman"/>
          <w:sz w:val="28"/>
          <w:szCs w:val="28"/>
        </w:rPr>
        <w:t>30198,6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553EB">
        <w:rPr>
          <w:rFonts w:ascii="Times New Roman" w:hAnsi="Times New Roman"/>
          <w:sz w:val="28"/>
          <w:szCs w:val="28"/>
        </w:rPr>
        <w:t>177423,9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484870,4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116403,3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F40A6">
        <w:rPr>
          <w:rFonts w:ascii="Times New Roman" w:hAnsi="Times New Roman"/>
          <w:sz w:val="28"/>
          <w:szCs w:val="28"/>
        </w:rPr>
        <w:t>451482,5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123835,6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Доступность качественного образования на территории Шербакульского муниципального </w:t>
            </w: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</w:t>
            </w:r>
            <w:r w:rsidR="002553EB">
              <w:rPr>
                <w:rFonts w:ascii="Times New Roman" w:hAnsi="Times New Roman"/>
                <w:sz w:val="28"/>
                <w:szCs w:val="28"/>
              </w:rPr>
              <w:t>116913</w:t>
            </w:r>
            <w:r w:rsidR="005D6619">
              <w:rPr>
                <w:rFonts w:ascii="Times New Roman" w:hAnsi="Times New Roman"/>
                <w:sz w:val="28"/>
                <w:szCs w:val="28"/>
              </w:rPr>
              <w:t>,</w:t>
            </w:r>
            <w:r w:rsidR="002553EB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563214,0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434497,6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255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419704,8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553EB">
        <w:rPr>
          <w:rFonts w:ascii="Times New Roman" w:hAnsi="Times New Roman"/>
          <w:sz w:val="28"/>
          <w:szCs w:val="28"/>
        </w:rPr>
        <w:t>3116913,4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553EB">
        <w:rPr>
          <w:rFonts w:ascii="Times New Roman" w:hAnsi="Times New Roman"/>
          <w:sz w:val="28"/>
          <w:szCs w:val="28"/>
        </w:rPr>
        <w:t>752765,9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750C">
        <w:rPr>
          <w:rFonts w:ascii="Times New Roman" w:hAnsi="Times New Roman"/>
          <w:sz w:val="28"/>
          <w:szCs w:val="28"/>
        </w:rPr>
        <w:t>563214,0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140340,4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750C">
        <w:rPr>
          <w:rFonts w:ascii="Times New Roman" w:hAnsi="Times New Roman"/>
          <w:sz w:val="28"/>
          <w:szCs w:val="28"/>
        </w:rPr>
        <w:t>434497,6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95145,0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750C">
        <w:rPr>
          <w:rFonts w:ascii="Times New Roman" w:hAnsi="Times New Roman"/>
          <w:sz w:val="28"/>
          <w:szCs w:val="28"/>
        </w:rPr>
        <w:t>419704,8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102566,5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36750C">
              <w:rPr>
                <w:rFonts w:ascii="Times New Roman" w:hAnsi="Times New Roman"/>
                <w:sz w:val="28"/>
                <w:szCs w:val="28"/>
              </w:rPr>
              <w:t>65129,4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750C">
              <w:rPr>
                <w:rFonts w:ascii="Times New Roman" w:hAnsi="Times New Roman"/>
                <w:color w:val="000000"/>
                <w:sz w:val="28"/>
                <w:szCs w:val="28"/>
              </w:rPr>
              <w:t>9086,0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9613,0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662A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9587,4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36750C">
        <w:rPr>
          <w:rFonts w:ascii="Times New Roman" w:hAnsi="Times New Roman"/>
          <w:sz w:val="28"/>
          <w:szCs w:val="28"/>
        </w:rPr>
        <w:t>65129,4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8616,7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750C">
        <w:rPr>
          <w:rFonts w:ascii="Times New Roman" w:hAnsi="Times New Roman"/>
          <w:sz w:val="28"/>
          <w:szCs w:val="28"/>
        </w:rPr>
        <w:t>9086</w:t>
      </w:r>
      <w:r w:rsidR="00C4626F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1491,7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62AD2">
        <w:rPr>
          <w:rFonts w:ascii="Times New Roman" w:hAnsi="Times New Roman"/>
          <w:sz w:val="28"/>
          <w:szCs w:val="28"/>
        </w:rPr>
        <w:t>9613,0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1612,2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C5716">
        <w:rPr>
          <w:rFonts w:ascii="Times New Roman" w:hAnsi="Times New Roman"/>
          <w:sz w:val="28"/>
          <w:szCs w:val="28"/>
        </w:rPr>
        <w:t>9587,4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C5716">
        <w:rPr>
          <w:rFonts w:ascii="Times New Roman" w:hAnsi="Times New Roman"/>
          <w:sz w:val="28"/>
          <w:szCs w:val="28"/>
        </w:rPr>
        <w:t>1586,5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36750C">
              <w:rPr>
                <w:rFonts w:ascii="Times New Roman" w:hAnsi="Times New Roman"/>
                <w:sz w:val="28"/>
                <w:szCs w:val="28"/>
              </w:rPr>
              <w:t>271543,0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36750C">
              <w:rPr>
                <w:rFonts w:ascii="Times New Roman" w:hAnsi="Times New Roman"/>
                <w:color w:val="000000"/>
                <w:sz w:val="28"/>
                <w:szCs w:val="28"/>
              </w:rPr>
              <w:t>57898,6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750C">
              <w:rPr>
                <w:rFonts w:ascii="Times New Roman" w:hAnsi="Times New Roman"/>
                <w:color w:val="000000"/>
                <w:sz w:val="28"/>
                <w:szCs w:val="28"/>
              </w:rPr>
              <w:t>40759,9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67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750C">
              <w:rPr>
                <w:rFonts w:ascii="Times New Roman" w:hAnsi="Times New Roman"/>
                <w:color w:val="000000"/>
                <w:sz w:val="28"/>
                <w:szCs w:val="28"/>
              </w:rPr>
              <w:t>22190,4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36750C">
        <w:rPr>
          <w:rFonts w:ascii="Times New Roman" w:hAnsi="Times New Roman"/>
          <w:sz w:val="28"/>
          <w:szCs w:val="28"/>
        </w:rPr>
        <w:t>271543,0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143868,6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750C">
        <w:rPr>
          <w:rFonts w:ascii="Times New Roman" w:hAnsi="Times New Roman"/>
          <w:sz w:val="28"/>
          <w:szCs w:val="28"/>
        </w:rPr>
        <w:t>57898,6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35591,8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21684">
        <w:rPr>
          <w:rFonts w:ascii="Times New Roman" w:hAnsi="Times New Roman"/>
          <w:sz w:val="28"/>
          <w:szCs w:val="28"/>
        </w:rPr>
        <w:t>40759,9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1684">
        <w:rPr>
          <w:rFonts w:ascii="Times New Roman" w:hAnsi="Times New Roman"/>
          <w:sz w:val="28"/>
          <w:szCs w:val="28"/>
        </w:rPr>
        <w:t>19646,1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21684">
        <w:rPr>
          <w:rFonts w:ascii="Times New Roman" w:hAnsi="Times New Roman"/>
          <w:sz w:val="28"/>
          <w:szCs w:val="28"/>
        </w:rPr>
        <w:t>22190,4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1684">
        <w:rPr>
          <w:rFonts w:ascii="Times New Roman" w:hAnsi="Times New Roman"/>
          <w:sz w:val="28"/>
          <w:szCs w:val="28"/>
        </w:rPr>
        <w:t>19682,6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553EB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6750C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1684"/>
    <w:rsid w:val="00726D62"/>
    <w:rsid w:val="00727371"/>
    <w:rsid w:val="00745DCE"/>
    <w:rsid w:val="00746E79"/>
    <w:rsid w:val="00757A96"/>
    <w:rsid w:val="00765278"/>
    <w:rsid w:val="0077576F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2108"/>
    <w:rsid w:val="009938DC"/>
    <w:rsid w:val="009A0E3E"/>
    <w:rsid w:val="009D2704"/>
    <w:rsid w:val="009D468E"/>
    <w:rsid w:val="009D4E40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504C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D07C9-F7C8-4C82-8A17-31D4BF18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2553</TotalTime>
  <Pages>24</Pages>
  <Words>6775</Words>
  <Characters>38623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200</cp:revision>
  <cp:lastPrinted>2024-10-11T04:48:00Z</cp:lastPrinted>
  <dcterms:created xsi:type="dcterms:W3CDTF">2019-11-07T03:13:00Z</dcterms:created>
  <dcterms:modified xsi:type="dcterms:W3CDTF">2024-11-13T09:19:00Z</dcterms:modified>
</cp:coreProperties>
</file>