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355064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>, № __-п от ______г.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680865,1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119705,9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76698,6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C2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79503,4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мероприятий 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>-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поощрение лучшим работникам муниципальных учреждений культуры,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</w:t>
      </w:r>
      <w:r w:rsidRPr="00AE5501">
        <w:rPr>
          <w:rFonts w:ascii="Times New Roman" w:hAnsi="Times New Roman"/>
          <w:sz w:val="28"/>
          <w:szCs w:val="28"/>
        </w:rPr>
        <w:lastRenderedPageBreak/>
        <w:t>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680865,1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530540,0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119705,9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84234,2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удовлетворения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lastRenderedPageBreak/>
              <w:t>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64897,3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11038,7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10745,4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E148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10871,5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64897,3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64897,3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11038,7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11038,7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- 2026 год –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создание условий для организации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117161,5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18405,5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11122,4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13787,6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117161,5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117161,5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18405,5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18405,5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362484,8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66012,4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362484,8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212159,7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E324E0">
        <w:rPr>
          <w:rFonts w:ascii="Times New Roman" w:hAnsi="Times New Roman"/>
          <w:sz w:val="28"/>
          <w:szCs w:val="28"/>
        </w:rPr>
        <w:t>64393,3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60012,4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30540,8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1486A">
              <w:rPr>
                <w:rFonts w:ascii="Times New Roman" w:hAnsi="Times New Roman"/>
                <w:sz w:val="28"/>
                <w:szCs w:val="28"/>
              </w:rPr>
              <w:t>136321,5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1486A">
              <w:rPr>
                <w:rFonts w:ascii="Times New Roman" w:hAnsi="Times New Roman"/>
                <w:color w:val="000000"/>
                <w:sz w:val="28"/>
                <w:szCs w:val="28"/>
              </w:rPr>
              <w:t>24249,2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26274,1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FB5B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26287,7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E1486A">
        <w:rPr>
          <w:rFonts w:ascii="Times New Roman" w:hAnsi="Times New Roman"/>
          <w:sz w:val="28"/>
          <w:szCs w:val="28"/>
        </w:rPr>
        <w:t>136321,5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136321,5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1486A">
        <w:rPr>
          <w:rFonts w:ascii="Times New Roman" w:hAnsi="Times New Roman"/>
          <w:sz w:val="28"/>
          <w:szCs w:val="28"/>
        </w:rPr>
        <w:t>24249,2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1486A">
        <w:rPr>
          <w:rFonts w:ascii="Times New Roman" w:hAnsi="Times New Roman"/>
          <w:sz w:val="28"/>
          <w:szCs w:val="28"/>
        </w:rPr>
        <w:t>24249,2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C2488"/>
    <w:rsid w:val="001C7DD4"/>
    <w:rsid w:val="001D0379"/>
    <w:rsid w:val="001D640B"/>
    <w:rsid w:val="001E6618"/>
    <w:rsid w:val="001F264D"/>
    <w:rsid w:val="001F6D5F"/>
    <w:rsid w:val="00220BBA"/>
    <w:rsid w:val="00222697"/>
    <w:rsid w:val="00244882"/>
    <w:rsid w:val="00285F0C"/>
    <w:rsid w:val="00286BFB"/>
    <w:rsid w:val="002C0322"/>
    <w:rsid w:val="002C120B"/>
    <w:rsid w:val="0031668D"/>
    <w:rsid w:val="00320ADF"/>
    <w:rsid w:val="00330A66"/>
    <w:rsid w:val="00330AC2"/>
    <w:rsid w:val="0033148A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6154"/>
    <w:rsid w:val="00556EF4"/>
    <w:rsid w:val="00561F03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5289"/>
    <w:rsid w:val="00C754B7"/>
    <w:rsid w:val="00C767F3"/>
    <w:rsid w:val="00C93B39"/>
    <w:rsid w:val="00CA22B3"/>
    <w:rsid w:val="00CB5761"/>
    <w:rsid w:val="00CC20F5"/>
    <w:rsid w:val="00CD437C"/>
    <w:rsid w:val="00CF1E10"/>
    <w:rsid w:val="00CF6228"/>
    <w:rsid w:val="00CF6230"/>
    <w:rsid w:val="00CF709C"/>
    <w:rsid w:val="00CF72B4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1486A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F02C4D"/>
    <w:rsid w:val="00F04585"/>
    <w:rsid w:val="00F05288"/>
    <w:rsid w:val="00F15188"/>
    <w:rsid w:val="00F16113"/>
    <w:rsid w:val="00F2057C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949F0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FDFB5-A445-49FA-AEBD-3C033C6C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21</Pages>
  <Words>5984</Words>
  <Characters>34112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198</cp:revision>
  <cp:lastPrinted>2024-08-16T05:03:00Z</cp:lastPrinted>
  <dcterms:created xsi:type="dcterms:W3CDTF">2019-11-07T03:13:00Z</dcterms:created>
  <dcterms:modified xsi:type="dcterms:W3CDTF">2024-09-19T03:45:00Z</dcterms:modified>
</cp:coreProperties>
</file>