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E00237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</w:t>
      </w:r>
      <w:r w:rsidR="00F84E6C">
        <w:rPr>
          <w:rFonts w:ascii="Times New Roman" w:hAnsi="Times New Roman"/>
          <w:sz w:val="28"/>
          <w:szCs w:val="28"/>
        </w:rPr>
        <w:t xml:space="preserve"> 163-п </w:t>
      </w:r>
      <w:r w:rsidR="00193170">
        <w:rPr>
          <w:rFonts w:ascii="Times New Roman" w:hAnsi="Times New Roman"/>
          <w:sz w:val="28"/>
          <w:szCs w:val="28"/>
        </w:rPr>
        <w:t>от</w:t>
      </w:r>
      <w:r w:rsidR="00F84E6C">
        <w:rPr>
          <w:rFonts w:ascii="Times New Roman" w:hAnsi="Times New Roman"/>
          <w:sz w:val="28"/>
          <w:szCs w:val="28"/>
        </w:rPr>
        <w:t xml:space="preserve"> 18.11.2024 г.</w:t>
      </w:r>
      <w:r w:rsidR="00583158">
        <w:rPr>
          <w:rFonts w:ascii="Times New Roman" w:hAnsi="Times New Roman"/>
          <w:sz w:val="28"/>
          <w:szCs w:val="28"/>
        </w:rPr>
        <w:t>, № 188-п от 28.12.2024 г.</w:t>
      </w:r>
      <w:r w:rsidR="00E00237">
        <w:rPr>
          <w:rFonts w:ascii="Times New Roman" w:hAnsi="Times New Roman"/>
          <w:sz w:val="28"/>
          <w:szCs w:val="28"/>
        </w:rPr>
        <w:t>,</w:t>
      </w:r>
    </w:p>
    <w:p w:rsidR="00F43125" w:rsidRDefault="00E0023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65AF">
        <w:rPr>
          <w:rFonts w:ascii="Times New Roman" w:hAnsi="Times New Roman"/>
          <w:sz w:val="28"/>
          <w:szCs w:val="28"/>
        </w:rPr>
        <w:t xml:space="preserve">30-п от 18.03.2025 </w:t>
      </w:r>
      <w:r>
        <w:rPr>
          <w:rFonts w:ascii="Times New Roman" w:hAnsi="Times New Roman"/>
          <w:sz w:val="28"/>
          <w:szCs w:val="28"/>
        </w:rPr>
        <w:t>г.</w:t>
      </w:r>
      <w:r w:rsidR="00774209">
        <w:rPr>
          <w:rFonts w:ascii="Times New Roman" w:hAnsi="Times New Roman"/>
          <w:sz w:val="28"/>
          <w:szCs w:val="28"/>
        </w:rPr>
        <w:t xml:space="preserve">, № </w:t>
      </w:r>
      <w:r w:rsidR="00916B58">
        <w:rPr>
          <w:rFonts w:ascii="Times New Roman" w:hAnsi="Times New Roman"/>
          <w:sz w:val="28"/>
          <w:szCs w:val="28"/>
        </w:rPr>
        <w:t>57</w:t>
      </w:r>
      <w:r w:rsidR="00774209">
        <w:rPr>
          <w:rFonts w:ascii="Times New Roman" w:hAnsi="Times New Roman"/>
          <w:sz w:val="28"/>
          <w:szCs w:val="28"/>
        </w:rPr>
        <w:t xml:space="preserve">-п от </w:t>
      </w:r>
      <w:r w:rsidR="00916B58">
        <w:rPr>
          <w:rFonts w:ascii="Times New Roman" w:hAnsi="Times New Roman"/>
          <w:sz w:val="28"/>
          <w:szCs w:val="28"/>
        </w:rPr>
        <w:t>19.05.2025</w:t>
      </w:r>
      <w:r w:rsidR="00774209">
        <w:rPr>
          <w:rFonts w:ascii="Times New Roman" w:hAnsi="Times New Roman"/>
          <w:sz w:val="28"/>
          <w:szCs w:val="28"/>
        </w:rPr>
        <w:t xml:space="preserve"> 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  <w:bookmarkStart w:id="0" w:name="_GoBack"/>
      <w:bookmarkEnd w:id="0"/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00237">
              <w:rPr>
                <w:rFonts w:ascii="Times New Roman" w:hAnsi="Times New Roman"/>
                <w:sz w:val="28"/>
                <w:szCs w:val="28"/>
              </w:rPr>
              <w:t>12322</w:t>
            </w:r>
            <w:r w:rsidR="00774209">
              <w:rPr>
                <w:rFonts w:ascii="Times New Roman" w:hAnsi="Times New Roman"/>
                <w:sz w:val="28"/>
                <w:szCs w:val="28"/>
              </w:rPr>
              <w:t>2</w:t>
            </w:r>
            <w:r w:rsidR="00E00237">
              <w:rPr>
                <w:rFonts w:ascii="Times New Roman" w:hAnsi="Times New Roman"/>
                <w:sz w:val="28"/>
                <w:szCs w:val="28"/>
              </w:rPr>
              <w:t>,</w:t>
            </w:r>
            <w:r w:rsidR="00774209">
              <w:rPr>
                <w:rFonts w:ascii="Times New Roman" w:hAnsi="Times New Roman"/>
                <w:sz w:val="28"/>
                <w:szCs w:val="28"/>
              </w:rPr>
              <w:t>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19905,9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00237">
              <w:rPr>
                <w:rFonts w:ascii="Times New Roman" w:hAnsi="Times New Roman"/>
                <w:color w:val="000000"/>
                <w:sz w:val="28"/>
                <w:szCs w:val="28"/>
              </w:rPr>
              <w:t>222</w:t>
            </w:r>
            <w:r w:rsidR="00774209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  <w:r w:rsidR="00E00237"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12527,5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12616,1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7) выполнение деятельности по запланированным мероприятиям в полном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8) доля несовершеннолетних, находящихся в трудной жизненной ситуации, от общей 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</w:t>
      </w:r>
      <w:r w:rsidRPr="006E171E">
        <w:rPr>
          <w:color w:val="000000"/>
          <w:sz w:val="28"/>
          <w:szCs w:val="28"/>
        </w:rPr>
        <w:lastRenderedPageBreak/>
        <w:t>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греко-римской борьбе, армрестлингу, гиревому спорту, </w:t>
      </w:r>
      <w:r w:rsidR="00B5322C" w:rsidRPr="006E171E">
        <w:rPr>
          <w:color w:val="000000"/>
          <w:sz w:val="28"/>
          <w:szCs w:val="28"/>
        </w:rPr>
        <w:t>авто многоборью</w:t>
      </w:r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>снижение смертности населения от внешних причин, распространение стандартов здорового образа жизни, 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74209">
        <w:rPr>
          <w:rFonts w:ascii="Times New Roman" w:hAnsi="Times New Roman"/>
          <w:sz w:val="28"/>
          <w:szCs w:val="28"/>
        </w:rPr>
        <w:t>123222,8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74209">
        <w:rPr>
          <w:rFonts w:ascii="Times New Roman" w:hAnsi="Times New Roman"/>
          <w:sz w:val="28"/>
          <w:szCs w:val="28"/>
        </w:rPr>
        <w:t>122522,8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74209">
        <w:rPr>
          <w:rFonts w:ascii="Times New Roman" w:hAnsi="Times New Roman"/>
          <w:sz w:val="28"/>
          <w:szCs w:val="28"/>
        </w:rPr>
        <w:t>22248,9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74209">
        <w:rPr>
          <w:rFonts w:ascii="Times New Roman" w:hAnsi="Times New Roman"/>
          <w:sz w:val="28"/>
          <w:szCs w:val="28"/>
        </w:rPr>
        <w:t>22248,9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и реализация мероприятий в сфере молодежной </w:t>
            </w: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>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A5454">
              <w:rPr>
                <w:rFonts w:ascii="Times New Roman" w:hAnsi="Times New Roman"/>
                <w:sz w:val="28"/>
                <w:szCs w:val="28"/>
              </w:rPr>
              <w:t>45511,1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7081,5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A5454">
              <w:rPr>
                <w:rFonts w:ascii="Times New Roman" w:hAnsi="Times New Roman"/>
                <w:color w:val="000000"/>
                <w:sz w:val="28"/>
                <w:szCs w:val="28"/>
              </w:rPr>
              <w:t>7732,8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5311,0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="00B5322C">
        <w:rPr>
          <w:rFonts w:ascii="Times New Roman" w:hAnsi="Times New Roman"/>
          <w:sz w:val="28"/>
          <w:szCs w:val="28"/>
        </w:rPr>
        <w:t>на 2020 - 2027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A5454">
        <w:rPr>
          <w:rFonts w:ascii="Times New Roman" w:hAnsi="Times New Roman"/>
          <w:sz w:val="28"/>
          <w:szCs w:val="28"/>
        </w:rPr>
        <w:t>45511,1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44811,1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5311,0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5311,0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участие в организации развития системы 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74209">
              <w:rPr>
                <w:rFonts w:ascii="Times New Roman" w:hAnsi="Times New Roman"/>
                <w:sz w:val="28"/>
                <w:szCs w:val="28"/>
              </w:rPr>
              <w:t>77711,6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12824,4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74209">
              <w:rPr>
                <w:rFonts w:ascii="Times New Roman" w:hAnsi="Times New Roman"/>
                <w:color w:val="000000"/>
                <w:sz w:val="28"/>
                <w:szCs w:val="28"/>
              </w:rPr>
              <w:t>14516,1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F44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7296,9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44364" w:rsidRPr="000C556E" w:rsidRDefault="00F44364" w:rsidP="00F44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7305,0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</w:t>
      </w:r>
      <w:r w:rsidR="00F535D7">
        <w:rPr>
          <w:rFonts w:ascii="Times New Roman" w:hAnsi="Times New Roman"/>
          <w:sz w:val="28"/>
          <w:szCs w:val="28"/>
        </w:rPr>
        <w:lastRenderedPageBreak/>
        <w:t>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43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74209">
        <w:rPr>
          <w:rFonts w:ascii="Times New Roman" w:hAnsi="Times New Roman"/>
          <w:sz w:val="28"/>
          <w:szCs w:val="28"/>
        </w:rPr>
        <w:t>77711,6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74209">
        <w:rPr>
          <w:rFonts w:ascii="Times New Roman" w:hAnsi="Times New Roman"/>
          <w:sz w:val="28"/>
          <w:szCs w:val="28"/>
        </w:rPr>
        <w:t>77711,6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F44364">
        <w:rPr>
          <w:rFonts w:ascii="Times New Roman" w:hAnsi="Times New Roman"/>
          <w:sz w:val="28"/>
          <w:szCs w:val="28"/>
        </w:rPr>
        <w:t>1451</w:t>
      </w:r>
      <w:r w:rsidR="00774209">
        <w:rPr>
          <w:rFonts w:ascii="Times New Roman" w:hAnsi="Times New Roman"/>
          <w:sz w:val="28"/>
          <w:szCs w:val="28"/>
        </w:rPr>
        <w:t>6</w:t>
      </w:r>
      <w:r w:rsidR="00F44364">
        <w:rPr>
          <w:rFonts w:ascii="Times New Roman" w:hAnsi="Times New Roman"/>
          <w:sz w:val="28"/>
          <w:szCs w:val="28"/>
        </w:rPr>
        <w:t>,</w:t>
      </w:r>
      <w:r w:rsidR="00774209">
        <w:rPr>
          <w:rFonts w:ascii="Times New Roman" w:hAnsi="Times New Roman"/>
          <w:sz w:val="28"/>
          <w:szCs w:val="28"/>
        </w:rPr>
        <w:t>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1451</w:t>
      </w:r>
      <w:r w:rsidR="00774209">
        <w:rPr>
          <w:rFonts w:ascii="Times New Roman" w:hAnsi="Times New Roman"/>
          <w:sz w:val="28"/>
          <w:szCs w:val="28"/>
        </w:rPr>
        <w:t>6</w:t>
      </w:r>
      <w:r w:rsidR="00F44364">
        <w:rPr>
          <w:rFonts w:ascii="Times New Roman" w:hAnsi="Times New Roman"/>
          <w:sz w:val="28"/>
          <w:szCs w:val="28"/>
        </w:rPr>
        <w:t>,</w:t>
      </w:r>
      <w:r w:rsidR="00774209">
        <w:rPr>
          <w:rFonts w:ascii="Times New Roman" w:hAnsi="Times New Roman"/>
          <w:sz w:val="28"/>
          <w:szCs w:val="28"/>
        </w:rPr>
        <w:t>1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F44364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44364">
        <w:rPr>
          <w:rFonts w:ascii="Times New Roman" w:hAnsi="Times New Roman"/>
          <w:sz w:val="28"/>
          <w:szCs w:val="28"/>
        </w:rPr>
        <w:t>;</w:t>
      </w:r>
    </w:p>
    <w:p w:rsidR="006E171E" w:rsidRDefault="00F44364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83158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209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A5454"/>
    <w:rsid w:val="008B6B03"/>
    <w:rsid w:val="008C67AD"/>
    <w:rsid w:val="008D7A1B"/>
    <w:rsid w:val="008F43FE"/>
    <w:rsid w:val="009075DC"/>
    <w:rsid w:val="00916B58"/>
    <w:rsid w:val="00922153"/>
    <w:rsid w:val="00922DAE"/>
    <w:rsid w:val="009306F9"/>
    <w:rsid w:val="00934ACE"/>
    <w:rsid w:val="009365AF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322C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0237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4364"/>
    <w:rsid w:val="00F453A4"/>
    <w:rsid w:val="00F535D7"/>
    <w:rsid w:val="00F64174"/>
    <w:rsid w:val="00F66C21"/>
    <w:rsid w:val="00F842B0"/>
    <w:rsid w:val="00F84E6C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935A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4047</Words>
  <Characters>23071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138</cp:revision>
  <cp:lastPrinted>2025-05-19T03:35:00Z</cp:lastPrinted>
  <dcterms:created xsi:type="dcterms:W3CDTF">2019-11-07T03:13:00Z</dcterms:created>
  <dcterms:modified xsi:type="dcterms:W3CDTF">2025-05-19T03:36:00Z</dcterms:modified>
</cp:coreProperties>
</file>