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A511E8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E16F38">
        <w:rPr>
          <w:rFonts w:ascii="Times New Roman" w:hAnsi="Times New Roman"/>
          <w:sz w:val="28"/>
          <w:szCs w:val="28"/>
        </w:rPr>
        <w:t>, № 30</w:t>
      </w:r>
      <w:r w:rsidR="00662AD2">
        <w:rPr>
          <w:rFonts w:ascii="Times New Roman" w:hAnsi="Times New Roman"/>
          <w:sz w:val="28"/>
          <w:szCs w:val="28"/>
        </w:rPr>
        <w:t xml:space="preserve">-п от </w:t>
      </w:r>
      <w:r w:rsidR="00E16F38">
        <w:rPr>
          <w:rFonts w:ascii="Times New Roman" w:hAnsi="Times New Roman"/>
          <w:sz w:val="28"/>
          <w:szCs w:val="28"/>
        </w:rPr>
        <w:t xml:space="preserve">11.03.2024 </w:t>
      </w:r>
      <w:r w:rsidR="00662AD2">
        <w:rPr>
          <w:rFonts w:ascii="Times New Roman" w:hAnsi="Times New Roman"/>
          <w:sz w:val="28"/>
          <w:szCs w:val="28"/>
        </w:rPr>
        <w:t>г.</w:t>
      </w:r>
      <w:r w:rsidR="00C4626F">
        <w:rPr>
          <w:rFonts w:ascii="Times New Roman" w:hAnsi="Times New Roman"/>
          <w:sz w:val="28"/>
          <w:szCs w:val="28"/>
        </w:rPr>
        <w:t>, № 42-п от 01.04.2024 г.</w:t>
      </w:r>
      <w:r w:rsidR="00A511E8">
        <w:rPr>
          <w:rFonts w:ascii="Times New Roman" w:hAnsi="Times New Roman"/>
          <w:sz w:val="28"/>
          <w:szCs w:val="28"/>
        </w:rPr>
        <w:t>,</w:t>
      </w:r>
    </w:p>
    <w:p w:rsidR="005D6619" w:rsidRDefault="00A511E8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46520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46520">
        <w:rPr>
          <w:rFonts w:ascii="Times New Roman" w:hAnsi="Times New Roman"/>
          <w:sz w:val="28"/>
          <w:szCs w:val="28"/>
        </w:rPr>
        <w:t xml:space="preserve">04.06.2024 </w:t>
      </w:r>
      <w:r>
        <w:rPr>
          <w:rFonts w:ascii="Times New Roman" w:hAnsi="Times New Roman"/>
          <w:sz w:val="28"/>
          <w:szCs w:val="28"/>
        </w:rPr>
        <w:t>г.</w:t>
      </w:r>
      <w:r w:rsidR="005F40A6">
        <w:rPr>
          <w:rFonts w:ascii="Times New Roman" w:hAnsi="Times New Roman"/>
          <w:sz w:val="28"/>
          <w:szCs w:val="28"/>
        </w:rPr>
        <w:t xml:space="preserve">, № </w:t>
      </w:r>
      <w:r w:rsidR="00E16530">
        <w:rPr>
          <w:rFonts w:ascii="Times New Roman" w:hAnsi="Times New Roman"/>
          <w:sz w:val="28"/>
          <w:szCs w:val="28"/>
        </w:rPr>
        <w:t>101</w:t>
      </w:r>
      <w:r w:rsidR="005F40A6">
        <w:rPr>
          <w:rFonts w:ascii="Times New Roman" w:hAnsi="Times New Roman"/>
          <w:sz w:val="28"/>
          <w:szCs w:val="28"/>
        </w:rPr>
        <w:t xml:space="preserve">-п от </w:t>
      </w:r>
      <w:r w:rsidR="00E16530">
        <w:rPr>
          <w:rFonts w:ascii="Times New Roman" w:hAnsi="Times New Roman"/>
          <w:sz w:val="28"/>
          <w:szCs w:val="28"/>
        </w:rPr>
        <w:t xml:space="preserve">12.07.2024 </w:t>
      </w:r>
      <w:r w:rsidR="005F40A6">
        <w:rPr>
          <w:rFonts w:ascii="Times New Roman" w:hAnsi="Times New Roman"/>
          <w:sz w:val="28"/>
          <w:szCs w:val="28"/>
        </w:rPr>
        <w:t>г.</w:t>
      </w:r>
      <w:r w:rsidR="001D5153">
        <w:rPr>
          <w:rFonts w:ascii="Times New Roman" w:hAnsi="Times New Roman"/>
          <w:sz w:val="28"/>
          <w:szCs w:val="28"/>
        </w:rPr>
        <w:t xml:space="preserve">, № </w:t>
      </w:r>
      <w:r w:rsidR="003016DD">
        <w:rPr>
          <w:rFonts w:ascii="Times New Roman" w:hAnsi="Times New Roman"/>
          <w:sz w:val="28"/>
          <w:szCs w:val="28"/>
        </w:rPr>
        <w:t>124-п от 04.09.2024</w:t>
      </w:r>
      <w:r w:rsidR="001D5153">
        <w:rPr>
          <w:rFonts w:ascii="Times New Roman" w:hAnsi="Times New Roman"/>
          <w:sz w:val="28"/>
          <w:szCs w:val="28"/>
        </w:rPr>
        <w:t xml:space="preserve"> г.</w:t>
      </w:r>
      <w:r w:rsidR="005D6619">
        <w:rPr>
          <w:rFonts w:ascii="Times New Roman" w:hAnsi="Times New Roman"/>
          <w:sz w:val="28"/>
          <w:szCs w:val="28"/>
        </w:rPr>
        <w:t>,</w:t>
      </w:r>
    </w:p>
    <w:p w:rsidR="008D5BD8" w:rsidRDefault="005D6619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C1A04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C1A04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C01D3">
        <w:rPr>
          <w:rFonts w:ascii="Times New Roman" w:hAnsi="Times New Roman"/>
          <w:sz w:val="28"/>
          <w:szCs w:val="28"/>
        </w:rPr>
        <w:t>,</w:t>
      </w:r>
      <w:r w:rsidR="00844CFD">
        <w:rPr>
          <w:rFonts w:ascii="Times New Roman" w:hAnsi="Times New Roman"/>
          <w:sz w:val="28"/>
          <w:szCs w:val="28"/>
        </w:rPr>
        <w:t xml:space="preserve"> </w:t>
      </w:r>
      <w:r w:rsidR="008C01D3">
        <w:rPr>
          <w:rFonts w:ascii="Times New Roman" w:hAnsi="Times New Roman"/>
          <w:sz w:val="28"/>
          <w:szCs w:val="28"/>
        </w:rPr>
        <w:t xml:space="preserve">№ </w:t>
      </w:r>
      <w:r w:rsidR="00992108">
        <w:rPr>
          <w:rFonts w:ascii="Times New Roman" w:hAnsi="Times New Roman"/>
          <w:sz w:val="28"/>
          <w:szCs w:val="28"/>
        </w:rPr>
        <w:t>143</w:t>
      </w:r>
      <w:r w:rsidR="008C01D3">
        <w:rPr>
          <w:rFonts w:ascii="Times New Roman" w:hAnsi="Times New Roman"/>
          <w:sz w:val="28"/>
          <w:szCs w:val="28"/>
        </w:rPr>
        <w:t xml:space="preserve">-п от </w:t>
      </w:r>
      <w:r w:rsidR="00992108">
        <w:rPr>
          <w:rFonts w:ascii="Times New Roman" w:hAnsi="Times New Roman"/>
          <w:sz w:val="28"/>
          <w:szCs w:val="28"/>
        </w:rPr>
        <w:t xml:space="preserve">11.10.2024 </w:t>
      </w:r>
      <w:r w:rsidR="008C01D3">
        <w:rPr>
          <w:rFonts w:ascii="Times New Roman" w:hAnsi="Times New Roman"/>
          <w:sz w:val="28"/>
          <w:szCs w:val="28"/>
        </w:rPr>
        <w:t>г.</w:t>
      </w:r>
      <w:r w:rsidR="002553EB">
        <w:rPr>
          <w:rFonts w:ascii="Times New Roman" w:hAnsi="Times New Roman"/>
          <w:sz w:val="28"/>
          <w:szCs w:val="28"/>
        </w:rPr>
        <w:t>, №</w:t>
      </w:r>
      <w:r w:rsidR="001B1BAA">
        <w:rPr>
          <w:rFonts w:ascii="Times New Roman" w:hAnsi="Times New Roman"/>
          <w:sz w:val="28"/>
          <w:szCs w:val="28"/>
        </w:rPr>
        <w:t xml:space="preserve"> 161-п от 18.11.2024 г.</w:t>
      </w:r>
      <w:r w:rsidR="008D5BD8">
        <w:rPr>
          <w:rFonts w:ascii="Times New Roman" w:hAnsi="Times New Roman"/>
          <w:sz w:val="28"/>
          <w:szCs w:val="28"/>
        </w:rPr>
        <w:t>,</w:t>
      </w:r>
    </w:p>
    <w:p w:rsidR="008C01D3" w:rsidRDefault="008D5BD8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186-п от 28.12.2024 г.</w:t>
      </w:r>
      <w:r w:rsidR="008C01D3">
        <w:rPr>
          <w:rFonts w:ascii="Times New Roman" w:hAnsi="Times New Roman"/>
          <w:sz w:val="28"/>
          <w:szCs w:val="28"/>
        </w:rPr>
        <w:t xml:space="preserve">) </w:t>
      </w:r>
    </w:p>
    <w:p w:rsidR="00844CFD" w:rsidRDefault="00844CFD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качественного образования на территории Шербакульского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правление и кадровое обеспечение в сфере 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8D5BD8">
              <w:rPr>
                <w:rFonts w:ascii="Times New Roman" w:hAnsi="Times New Roman"/>
                <w:sz w:val="28"/>
                <w:szCs w:val="28"/>
              </w:rPr>
              <w:t>4139849,2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632040,8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552593,3</w:t>
            </w:r>
            <w:r w:rsidR="007216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535631,7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534802,8 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E22649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обучающихся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продукцией), в общей численности обучающихся,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Шербакульского муниципального района Омской области;</w:t>
            </w:r>
          </w:p>
          <w:p w:rsidR="000D552A" w:rsidRPr="00136905" w:rsidRDefault="000D552A" w:rsidP="000D552A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использующих федеральные государственные образовательные стандарты;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удельный вес выпускников муниципальных общеобразовательных учреждений, сдавших единый государственный экзамен, от числа выпускников муниципальных общеобразовательных учреждений, участвовавших в ЕГЭ;</w:t>
            </w:r>
          </w:p>
          <w:p w:rsidR="0090377C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района, которым предоставлена субсидия;</w:t>
            </w:r>
          </w:p>
          <w:p w:rsid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муниципальных образовательных организациях проведены мероприятия по ремонту зданий, установке систем и оборудования пожарной и общей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муниципального района;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5E4B14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5E4B14" w:rsidRPr="00AE0AE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080BA6" w:rsidP="00080BA6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80BA6">
              <w:rPr>
                <w:rFonts w:ascii="Times New Roman" w:hAnsi="Times New Roman"/>
                <w:sz w:val="28"/>
                <w:szCs w:val="28"/>
              </w:rPr>
              <w:t>оля педагогических работников образовательных организаций, получивших ежемесячное денежное вознаграждение за классное руководство 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5E4B14" w:rsidRPr="0013690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5E4B14" w:rsidP="003717DB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lastRenderedPageBreak/>
              <w:t>численность трудоустроенных граждан, зарегистрированных в качестве безработных в казенном учреждении Омской области-центра занятости населения;</w:t>
            </w:r>
          </w:p>
          <w:p w:rsidR="005E4B14" w:rsidRPr="00190F0A" w:rsidRDefault="005E4B14" w:rsidP="003717DB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на общественные работы граждан, ищущих работу и обратившихся в казенное учреждение Омской области "Центр занятости населения </w:t>
            </w:r>
            <w:r w:rsidR="00390CD4" w:rsidRPr="00190F0A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";</w:t>
            </w:r>
          </w:p>
          <w:p w:rsidR="00AE13D1" w:rsidRPr="00AE13D1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E13D1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Шербакульского муниципального района Омской области, которым предоставлены средства указанной субсидии на соответствующие цели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13D1" w:rsidRPr="001D5153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13D1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D5153" w:rsidRPr="00AE13D1" w:rsidRDefault="001D5153" w:rsidP="001D51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беспечены пункты проведения экзаменов для государственной итоговой аттестации по образовательным программам основного общего и среднего общего образования, </w:t>
            </w:r>
            <w:proofErr w:type="spellStart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>огранизованные</w:t>
            </w:r>
            <w:proofErr w:type="spellEnd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 на базе муниципальных образовательных организаций,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программам основного общего и среднего общего образования в пунктах проведения экзаменов" для связи с личным кабинетом пункта проведения экзаменов,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соответствующим требованиям;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862446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862446" w:rsidRPr="00136905">
              <w:rPr>
                <w:rFonts w:ascii="Times New Roman" w:eastAsiaTheme="minorHAnsi" w:hAnsi="Times New Roman"/>
                <w:sz w:val="28"/>
                <w:szCs w:val="28"/>
              </w:rPr>
              <w:t>исленность детей, обучающихся на базе центров образования цифрового и гуманитарного профилей, в том числе по предметным областям «Технология», «Информатика», «Основы безопасности жизнедеятельности»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62907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профилей;</w:t>
            </w:r>
          </w:p>
          <w:p w:rsidR="00AE0AEC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дополнительно привлеченных к занятиям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занятий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1-6 лет;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численность детей родители, которых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получают компенсацию части родительской платы за содержание ребенка в образовательных организациях, реализующих образовательную программу дошкольного образования;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находящихся в очереди на получение в текущем году дошкольного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дошкольных 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390CD4" w:rsidRPr="00190F0A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обеспеченных методическим и техническим сопровождением;</w:t>
            </w:r>
          </w:p>
          <w:p w:rsidR="00162907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число образовательных учреждений, участвующих в разных конкурсах на базе ресурсного центра;</w:t>
            </w:r>
          </w:p>
          <w:p w:rsidR="00B87F30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образо-вательных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учреждений, обеспеченных учебно-методическим, информационно-кадровым и техническим сопровождением;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 xml:space="preserve">ень 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>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проведенных научно-практических конференций;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участвующих в олимпиадах, конкурсах и других мероприятиях;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в которых получают поощрение талантливые дети и молодежь;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граждан, получивших меры поддержки по договору о целевом обучение;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оздоровление детей в детском оздоровительном лагере «Смена»;</w:t>
            </w:r>
          </w:p>
          <w:p w:rsidR="00390CD4" w:rsidRPr="007F3D69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муниципальных образований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занятых детей в системе дополнительного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области;</w:t>
            </w:r>
          </w:p>
          <w:p w:rsidR="0066099E" w:rsidRPr="0066099E" w:rsidRDefault="00AF0498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F0498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66099E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E709CF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исленность обучающихся </w:t>
            </w:r>
            <w:proofErr w:type="spellStart"/>
            <w:proofErr w:type="gramStart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вательных</w:t>
            </w:r>
            <w:proofErr w:type="spellEnd"/>
            <w:proofErr w:type="gramEnd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 и взрослого нас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еления, сдавших тесты ВСФК «ГТО»</w:t>
            </w:r>
            <w:r w:rsidR="00E91A65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30929" w:rsidRPr="00136905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lastRenderedPageBreak/>
              <w:t>к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>детей в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возрасте от 5 до 18 лет, охваченных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>системой персонифицированного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финансирования дополнительного образования детей;</w:t>
            </w:r>
          </w:p>
          <w:p w:rsidR="00130929" w:rsidRPr="0066099E" w:rsidRDefault="00660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6099E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ень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 w:rsidR="00130929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0929" w:rsidRPr="00B832FC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>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32FC" w:rsidRPr="00B832FC" w:rsidRDefault="00B832F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832FC">
              <w:rPr>
                <w:rFonts w:ascii="Times New Roman" w:hAnsi="Times New Roman"/>
                <w:sz w:val="28"/>
                <w:szCs w:val="28"/>
              </w:rPr>
              <w:t>количество введённых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52429" w:rsidRPr="00A52429" w:rsidRDefault="00746E7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46E79">
              <w:rPr>
                <w:rFonts w:ascii="Times New Roman" w:hAnsi="Times New Roman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1A65" w:rsidRPr="00136905" w:rsidRDefault="00E91A6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5C4B85" w:rsidRPr="00136905">
              <w:rPr>
                <w:rFonts w:ascii="Times New Roman" w:eastAsiaTheme="minorHAnsi" w:hAnsi="Times New Roman"/>
                <w:sz w:val="28"/>
                <w:szCs w:val="28"/>
              </w:rPr>
              <w:t>доля семей опекаемых детей, находящихся под контролем отдела опеки и попечительства;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приемных семей, которым представлены меры социальной поддержки;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детей, находящихся под опекой (попечительством), на которых выплачивается денежное вознаграждение;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безбарьерная</w:t>
            </w:r>
            <w:proofErr w:type="spell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общеобразовательных организаций Шербакульского муниципального района;</w:t>
            </w:r>
          </w:p>
          <w:p w:rsidR="005C4B85" w:rsidRPr="00136905" w:rsidRDefault="00AA2A2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детей-инвалидов, обучающихся с использованием дистанционных образовательных технологий;</w:t>
            </w:r>
          </w:p>
          <w:p w:rsidR="00AA2A26" w:rsidRPr="00136905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учащихся с ограниченными возможностями здоровья общеобразовательных учреждений,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получающих бесплатное двухразовое питание;</w:t>
            </w:r>
          </w:p>
          <w:p w:rsidR="000F3649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учреждений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136905" w:rsidRPr="00136905">
              <w:rPr>
                <w:rFonts w:ascii="Times New Roman" w:eastAsiaTheme="minorHAnsi" w:hAnsi="Times New Roman"/>
                <w:sz w:val="28"/>
                <w:szCs w:val="28"/>
              </w:rPr>
              <w:t>подведомственных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органам управления в сфере образования</w:t>
            </w:r>
            <w:r w:rsidR="00CB2696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B2696" w:rsidRPr="00136905" w:rsidRDefault="00CB269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несовершеннолетних детей, на которых распространяется организационная деятельность органов управления в сфере опеки и попечительства;</w:t>
            </w:r>
          </w:p>
          <w:p w:rsidR="00AC799E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обновленного</w:t>
            </w:r>
            <w:r w:rsidR="00AC799E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в текущем году компьютерного оборудования;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 обеспечивших проведение специальной оценки условий труда работников;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человек, прошедших обучение по охране труда;</w:t>
            </w:r>
          </w:p>
          <w:p w:rsidR="00AC799E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работников центра Шербакульского муниц</w:t>
            </w:r>
            <w:r w:rsidR="005B49AF">
              <w:rPr>
                <w:rFonts w:ascii="Times New Roman" w:eastAsiaTheme="minorHAnsi" w:hAnsi="Times New Roman"/>
                <w:sz w:val="28"/>
                <w:szCs w:val="28"/>
              </w:rPr>
              <w:t>ипального района Омской области</w:t>
            </w:r>
          </w:p>
          <w:p w:rsidR="007A4853" w:rsidRPr="007A4853" w:rsidRDefault="005B49AF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B49AF">
              <w:rPr>
                <w:rFonts w:ascii="Times New Roman" w:hAnsi="Times New Roman"/>
                <w:sz w:val="28"/>
                <w:szCs w:val="28"/>
              </w:rPr>
              <w:t>отсутствие по состоянию на 1 января года, следующего за отчетным, у муниципальных учреждений, осуществляющих расходы за счет средств субсидии, кредиторской задолженности за тепловое снабжение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49AF" w:rsidRPr="00F3158C" w:rsidRDefault="007A4853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A4853">
              <w:rPr>
                <w:rFonts w:ascii="Times New Roman" w:hAnsi="Times New Roman"/>
                <w:sz w:val="28"/>
                <w:szCs w:val="28"/>
              </w:rPr>
              <w:t>доля обучающихся в муниципальных образовательных организациях, являющихся членами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 (далее – мобилизованные), обеспеченных дополнительными мерами социальной поддержки членам семей мобилизованных, к общему количеству обучающихся в муниципальных образовательных организациях, являющихся членами семей мобилизованных</w:t>
            </w:r>
            <w:r w:rsidR="00F3158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57) д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 в муниципальных образовательных 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организациях, являющихся членами семей участников специальной военной операции, которые предусмотрены Указом Губернатора Омской области от 3 августа 2023 года N 181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>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r w:rsidR="00662AD2" w:rsidRPr="009A0E3E">
        <w:rPr>
          <w:rFonts w:ascii="Times New Roman" w:hAnsi="Times New Roman"/>
          <w:sz w:val="28"/>
          <w:szCs w:val="28"/>
        </w:rPr>
        <w:t>педагогических работника</w:t>
      </w:r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lastRenderedPageBreak/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>и с целью закрепления молодых специалистов в 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r w:rsidR="00662AD2" w:rsidRPr="009A0E3E">
        <w:rPr>
          <w:rFonts w:cs="Times New Roman"/>
          <w:sz w:val="28"/>
          <w:szCs w:val="28"/>
        </w:rPr>
        <w:t>игрового оборудования</w:t>
      </w:r>
      <w:r w:rsidRPr="009A0E3E">
        <w:rPr>
          <w:rFonts w:cs="Times New Roman"/>
          <w:sz w:val="28"/>
          <w:szCs w:val="28"/>
        </w:rPr>
        <w:t xml:space="preserve"> в детских </w:t>
      </w:r>
      <w:r w:rsidR="00662AD2" w:rsidRPr="009A0E3E">
        <w:rPr>
          <w:rFonts w:cs="Times New Roman"/>
          <w:sz w:val="28"/>
          <w:szCs w:val="28"/>
        </w:rPr>
        <w:t>садах направлены</w:t>
      </w:r>
      <w:r w:rsidRPr="009A0E3E">
        <w:rPr>
          <w:rFonts w:cs="Times New Roman"/>
          <w:sz w:val="28"/>
          <w:szCs w:val="28"/>
        </w:rPr>
        <w:t xml:space="preserve"> средства в размере 136 тыс. рублей из средств областного бюджета. Для обновления фондов школьных библиотек направлены средства в 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r w:rsidR="00662AD2" w:rsidRPr="009A0E3E">
        <w:rPr>
          <w:rFonts w:ascii="Times New Roman" w:hAnsi="Times New Roman"/>
          <w:sz w:val="28"/>
          <w:szCs w:val="28"/>
        </w:rPr>
        <w:t>школах проведены</w:t>
      </w:r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lastRenderedPageBreak/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организованных на базе общеобразовательных учреждений Шербакульского муниципального района, в санаториях Омской области, Всероссийских детских </w:t>
      </w:r>
      <w:r w:rsidR="00662AD2" w:rsidRPr="009A0E3E">
        <w:rPr>
          <w:rFonts w:ascii="Times New Roman" w:hAnsi="Times New Roman"/>
          <w:sz w:val="28"/>
          <w:szCs w:val="28"/>
        </w:rPr>
        <w:t>центрах</w:t>
      </w:r>
      <w:r w:rsidR="00662AD2" w:rsidRPr="009A0E3E">
        <w:rPr>
          <w:rFonts w:ascii="Times New Roman" w:eastAsia="TimesNewRomanPSMT" w:hAnsi="Times New Roman"/>
          <w:sz w:val="28"/>
          <w:szCs w:val="28"/>
        </w:rPr>
        <w:t xml:space="preserve"> было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r w:rsidR="00662AD2" w:rsidRPr="009A0E3E">
        <w:rPr>
          <w:rFonts w:ascii="Times New Roman" w:hAnsi="Times New Roman"/>
          <w:sz w:val="28"/>
          <w:szCs w:val="28"/>
        </w:rPr>
        <w:t>по повышению</w:t>
      </w:r>
      <w:r w:rsidRPr="009A0E3E">
        <w:rPr>
          <w:rFonts w:ascii="Times New Roman" w:hAnsi="Times New Roman"/>
          <w:sz w:val="28"/>
          <w:szCs w:val="28"/>
        </w:rPr>
        <w:t xml:space="preserve"> качества </w:t>
      </w:r>
      <w:r w:rsidR="00662AD2" w:rsidRPr="009A0E3E">
        <w:rPr>
          <w:rFonts w:ascii="Times New Roman" w:hAnsi="Times New Roman"/>
          <w:sz w:val="28"/>
          <w:szCs w:val="28"/>
        </w:rPr>
        <w:t>образования школьников</w:t>
      </w:r>
      <w:r w:rsidRPr="009A0E3E">
        <w:rPr>
          <w:rFonts w:ascii="Times New Roman" w:hAnsi="Times New Roman"/>
          <w:sz w:val="28"/>
          <w:szCs w:val="28"/>
        </w:rPr>
        <w:t xml:space="preserve">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D5BD8">
        <w:rPr>
          <w:rFonts w:ascii="Times New Roman" w:hAnsi="Times New Roman"/>
          <w:sz w:val="28"/>
          <w:szCs w:val="28"/>
        </w:rPr>
        <w:t>4139849,2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1215098,1</w:t>
      </w:r>
      <w:r w:rsidR="00C7540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D5BD8">
        <w:rPr>
          <w:rFonts w:ascii="Times New Roman" w:hAnsi="Times New Roman"/>
          <w:sz w:val="28"/>
          <w:szCs w:val="28"/>
        </w:rPr>
        <w:t>632040,8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167943,2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D5BD8">
        <w:rPr>
          <w:rFonts w:ascii="Times New Roman" w:hAnsi="Times New Roman"/>
          <w:sz w:val="28"/>
          <w:szCs w:val="28"/>
        </w:rPr>
        <w:t>552593,3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199116,3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D5BD8">
        <w:rPr>
          <w:rFonts w:ascii="Times New Roman" w:hAnsi="Times New Roman"/>
          <w:sz w:val="28"/>
          <w:szCs w:val="28"/>
        </w:rPr>
        <w:t>535631,7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180672,5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D5BD8">
        <w:rPr>
          <w:rFonts w:ascii="Times New Roman" w:hAnsi="Times New Roman"/>
          <w:sz w:val="28"/>
          <w:szCs w:val="28"/>
        </w:rPr>
        <w:t>;</w:t>
      </w:r>
    </w:p>
    <w:p w:rsidR="008D5BD8" w:rsidRDefault="008D5BD8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534802,8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179777,5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252400" w:rsidRDefault="00252400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662AD2" w:rsidRPr="00FD53B9">
              <w:rPr>
                <w:rFonts w:ascii="Times New Roman" w:hAnsi="Times New Roman"/>
                <w:sz w:val="28"/>
                <w:szCs w:val="28"/>
              </w:rPr>
              <w:t>реализации муниципального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D5BD8">
              <w:rPr>
                <w:rFonts w:ascii="Times New Roman" w:hAnsi="Times New Roman"/>
                <w:sz w:val="28"/>
                <w:szCs w:val="28"/>
              </w:rPr>
              <w:t>3737092,8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570237,6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500396,9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485030,4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484184,5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8D5BD8">
        <w:rPr>
          <w:rFonts w:ascii="Times New Roman" w:hAnsi="Times New Roman"/>
          <w:sz w:val="28"/>
          <w:szCs w:val="28"/>
        </w:rPr>
        <w:t>–</w:t>
      </w:r>
      <w:r w:rsidRPr="000C556E">
        <w:rPr>
          <w:rFonts w:ascii="Times New Roman" w:hAnsi="Times New Roman"/>
          <w:sz w:val="28"/>
          <w:szCs w:val="28"/>
        </w:rPr>
        <w:t xml:space="preserve"> 202</w:t>
      </w:r>
      <w:r w:rsidR="008D5BD8">
        <w:rPr>
          <w:rFonts w:ascii="Times New Roman" w:hAnsi="Times New Roman"/>
          <w:sz w:val="28"/>
          <w:szCs w:val="28"/>
        </w:rPr>
        <w:t xml:space="preserve">7 </w:t>
      </w:r>
      <w:r w:rsidRPr="000C556E">
        <w:rPr>
          <w:rFonts w:ascii="Times New Roman" w:hAnsi="Times New Roman"/>
          <w:sz w:val="28"/>
          <w:szCs w:val="28"/>
        </w:rPr>
        <w:t>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D5BD8">
        <w:rPr>
          <w:rFonts w:ascii="Times New Roman" w:hAnsi="Times New Roman"/>
          <w:sz w:val="28"/>
          <w:szCs w:val="28"/>
        </w:rPr>
        <w:t>3737092,8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986467,1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D5BD8">
        <w:rPr>
          <w:rFonts w:ascii="Times New Roman" w:hAnsi="Times New Roman"/>
          <w:sz w:val="28"/>
          <w:szCs w:val="28"/>
        </w:rPr>
        <w:t>570237,6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136297,6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D5BD8">
        <w:rPr>
          <w:rFonts w:ascii="Times New Roman" w:hAnsi="Times New Roman"/>
          <w:sz w:val="28"/>
          <w:szCs w:val="28"/>
        </w:rPr>
        <w:t>500396,9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156688,4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D5BD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D5BD8">
        <w:rPr>
          <w:rFonts w:ascii="Times New Roman" w:hAnsi="Times New Roman"/>
          <w:sz w:val="28"/>
          <w:szCs w:val="28"/>
        </w:rPr>
        <w:t>485030,4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139839,5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D5BD8">
        <w:rPr>
          <w:rFonts w:ascii="Times New Roman" w:hAnsi="Times New Roman"/>
          <w:sz w:val="28"/>
          <w:szCs w:val="28"/>
        </w:rPr>
        <w:t>;</w:t>
      </w:r>
    </w:p>
    <w:p w:rsidR="00871D72" w:rsidRDefault="008D5BD8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484184,5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138927,6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подпрограммы</w:t>
      </w:r>
      <w:r w:rsidR="00662AD2"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трудной жизненной </w:t>
            </w:r>
            <w:r w:rsidR="00662AD2" w:rsidRPr="00BB5615">
              <w:rPr>
                <w:rFonts w:ascii="Times New Roman" w:hAnsi="Times New Roman"/>
                <w:sz w:val="28"/>
                <w:szCs w:val="28"/>
              </w:rPr>
              <w:t>ситуации, детей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D5BD8">
              <w:rPr>
                <w:rFonts w:ascii="Times New Roman" w:hAnsi="Times New Roman"/>
                <w:sz w:val="28"/>
                <w:szCs w:val="28"/>
              </w:rPr>
              <w:t>69827,9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8521,1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662AD2">
        <w:rPr>
          <w:rFonts w:ascii="Times New Roman" w:hAnsi="Times New Roman"/>
          <w:sz w:val="28"/>
          <w:szCs w:val="28"/>
        </w:rPr>
        <w:t>о</w:t>
      </w:r>
      <w:r w:rsidR="00662AD2" w:rsidRPr="00BB5615">
        <w:rPr>
          <w:rFonts w:ascii="Times New Roman" w:hAnsi="Times New Roman"/>
          <w:sz w:val="28"/>
          <w:szCs w:val="28"/>
        </w:rPr>
        <w:t>беспечение жизнеустройства</w:t>
      </w:r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3717DB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A0844">
        <w:rPr>
          <w:rFonts w:ascii="Times New Roman" w:hAnsi="Times New Roman"/>
          <w:sz w:val="28"/>
          <w:szCs w:val="28"/>
        </w:rPr>
        <w:t>69827,9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7948,9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A0844">
        <w:rPr>
          <w:rFonts w:ascii="Times New Roman" w:hAnsi="Times New Roman"/>
          <w:sz w:val="28"/>
          <w:szCs w:val="28"/>
        </w:rPr>
        <w:t>8521,1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926,8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A0844"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A0844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A0844"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A0844">
        <w:rPr>
          <w:rFonts w:ascii="Times New Roman" w:hAnsi="Times New Roman"/>
          <w:sz w:val="28"/>
          <w:szCs w:val="28"/>
        </w:rPr>
        <w:t>;</w:t>
      </w:r>
    </w:p>
    <w:p w:rsidR="00871D72" w:rsidRDefault="00EA0844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EA08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A084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EA0844">
              <w:rPr>
                <w:rFonts w:ascii="Times New Roman" w:hAnsi="Times New Roman"/>
                <w:sz w:val="28"/>
                <w:szCs w:val="28"/>
              </w:rPr>
              <w:t>332928,5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53282,2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>44041,8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EA08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>42446,8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A0844" w:rsidRPr="000C556E" w:rsidRDefault="00EA0844" w:rsidP="00EA08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2027 году – 42463,7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r w:rsidR="007C5716" w:rsidRPr="00E932B2">
        <w:rPr>
          <w:rFonts w:ascii="Times New Roman" w:hAnsi="Times New Roman"/>
          <w:sz w:val="28"/>
          <w:szCs w:val="28"/>
        </w:rPr>
        <w:t>управления, кадрового</w:t>
      </w:r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</w:t>
      </w:r>
      <w:r w:rsidR="00FC0F6B">
        <w:rPr>
          <w:rFonts w:ascii="Times New Roman" w:hAnsi="Times New Roman"/>
          <w:sz w:val="28"/>
          <w:szCs w:val="28"/>
        </w:rPr>
        <w:t>н</w:t>
      </w:r>
      <w:r w:rsidRPr="000C556E">
        <w:rPr>
          <w:rFonts w:ascii="Times New Roman" w:hAnsi="Times New Roman"/>
          <w:sz w:val="28"/>
          <w:szCs w:val="28"/>
        </w:rPr>
        <w:t xml:space="preserve">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FC0F6B">
        <w:rPr>
          <w:rFonts w:ascii="Times New Roman" w:hAnsi="Times New Roman"/>
          <w:sz w:val="28"/>
          <w:szCs w:val="28"/>
        </w:rPr>
        <w:t>332928,5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C0F6B">
        <w:rPr>
          <w:rFonts w:ascii="Times New Roman" w:hAnsi="Times New Roman"/>
          <w:sz w:val="28"/>
          <w:szCs w:val="28"/>
        </w:rPr>
        <w:t>220681,9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C0F6B">
        <w:rPr>
          <w:rFonts w:ascii="Times New Roman" w:hAnsi="Times New Roman"/>
          <w:sz w:val="28"/>
          <w:szCs w:val="28"/>
        </w:rPr>
        <w:t>53282,2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C0F6B">
        <w:rPr>
          <w:rFonts w:ascii="Times New Roman" w:hAnsi="Times New Roman"/>
          <w:sz w:val="28"/>
          <w:szCs w:val="28"/>
        </w:rPr>
        <w:t>30718,7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FC0F6B">
        <w:rPr>
          <w:rFonts w:ascii="Times New Roman" w:hAnsi="Times New Roman"/>
          <w:sz w:val="28"/>
          <w:szCs w:val="28"/>
        </w:rPr>
        <w:t>44041,8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C0F6B">
        <w:rPr>
          <w:rFonts w:ascii="Times New Roman" w:hAnsi="Times New Roman"/>
          <w:sz w:val="28"/>
          <w:szCs w:val="28"/>
        </w:rPr>
        <w:t>41396,0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C0F6B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C0F6B">
        <w:rPr>
          <w:rFonts w:ascii="Times New Roman" w:hAnsi="Times New Roman"/>
          <w:sz w:val="28"/>
          <w:szCs w:val="28"/>
        </w:rPr>
        <w:t>42446,8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C0F6B">
        <w:rPr>
          <w:rFonts w:ascii="Times New Roman" w:hAnsi="Times New Roman"/>
          <w:sz w:val="28"/>
          <w:szCs w:val="28"/>
        </w:rPr>
        <w:t>39801,0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FC0F6B">
        <w:rPr>
          <w:rFonts w:ascii="Times New Roman" w:hAnsi="Times New Roman"/>
          <w:sz w:val="28"/>
          <w:szCs w:val="28"/>
        </w:rPr>
        <w:t>;</w:t>
      </w:r>
    </w:p>
    <w:p w:rsidR="00871D72" w:rsidRDefault="00FC0F6B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424</w:t>
      </w:r>
      <w:r>
        <w:rPr>
          <w:rFonts w:ascii="Times New Roman" w:hAnsi="Times New Roman"/>
          <w:sz w:val="28"/>
          <w:szCs w:val="28"/>
        </w:rPr>
        <w:t>63,7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39817,9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90F0A"/>
    <w:rsid w:val="001A0741"/>
    <w:rsid w:val="001A7B96"/>
    <w:rsid w:val="001B1BAA"/>
    <w:rsid w:val="001C6C37"/>
    <w:rsid w:val="001D0683"/>
    <w:rsid w:val="001D4063"/>
    <w:rsid w:val="001D515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553EB"/>
    <w:rsid w:val="002833D2"/>
    <w:rsid w:val="00285E48"/>
    <w:rsid w:val="00286BFB"/>
    <w:rsid w:val="002A7A5D"/>
    <w:rsid w:val="002C2D76"/>
    <w:rsid w:val="002D2CF6"/>
    <w:rsid w:val="002D7B79"/>
    <w:rsid w:val="003016DD"/>
    <w:rsid w:val="0033028E"/>
    <w:rsid w:val="00351A26"/>
    <w:rsid w:val="003529C2"/>
    <w:rsid w:val="00353C64"/>
    <w:rsid w:val="003541B9"/>
    <w:rsid w:val="0036750C"/>
    <w:rsid w:val="003717DB"/>
    <w:rsid w:val="00373A49"/>
    <w:rsid w:val="00380D73"/>
    <w:rsid w:val="00385378"/>
    <w:rsid w:val="00390CD4"/>
    <w:rsid w:val="003A17DE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46520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D4"/>
    <w:rsid w:val="005204AB"/>
    <w:rsid w:val="00532EFA"/>
    <w:rsid w:val="005344F9"/>
    <w:rsid w:val="005539CA"/>
    <w:rsid w:val="00557C5B"/>
    <w:rsid w:val="0058236D"/>
    <w:rsid w:val="005A7ED4"/>
    <w:rsid w:val="005B49AF"/>
    <w:rsid w:val="005C4B85"/>
    <w:rsid w:val="005D0C94"/>
    <w:rsid w:val="005D6619"/>
    <w:rsid w:val="005D7B29"/>
    <w:rsid w:val="005E4B14"/>
    <w:rsid w:val="005F1743"/>
    <w:rsid w:val="005F40A6"/>
    <w:rsid w:val="00655D0B"/>
    <w:rsid w:val="0066099E"/>
    <w:rsid w:val="00662AD2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1684"/>
    <w:rsid w:val="00726D62"/>
    <w:rsid w:val="00727371"/>
    <w:rsid w:val="00745DCE"/>
    <w:rsid w:val="00746E79"/>
    <w:rsid w:val="00757A96"/>
    <w:rsid w:val="00765278"/>
    <w:rsid w:val="0077576F"/>
    <w:rsid w:val="0077616E"/>
    <w:rsid w:val="0079490C"/>
    <w:rsid w:val="007A1810"/>
    <w:rsid w:val="007A4853"/>
    <w:rsid w:val="007C1A04"/>
    <w:rsid w:val="007C4E51"/>
    <w:rsid w:val="007C5716"/>
    <w:rsid w:val="007F1244"/>
    <w:rsid w:val="007F3D69"/>
    <w:rsid w:val="007F6C56"/>
    <w:rsid w:val="00832740"/>
    <w:rsid w:val="0083530D"/>
    <w:rsid w:val="00835594"/>
    <w:rsid w:val="0083734F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01D3"/>
    <w:rsid w:val="008C67AD"/>
    <w:rsid w:val="008D0EC5"/>
    <w:rsid w:val="008D5BD8"/>
    <w:rsid w:val="008D5F79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7E1F"/>
    <w:rsid w:val="00971314"/>
    <w:rsid w:val="00975085"/>
    <w:rsid w:val="00981193"/>
    <w:rsid w:val="00992108"/>
    <w:rsid w:val="009938DC"/>
    <w:rsid w:val="009A0E3E"/>
    <w:rsid w:val="009D2704"/>
    <w:rsid w:val="009D468E"/>
    <w:rsid w:val="009D4E40"/>
    <w:rsid w:val="00A2420E"/>
    <w:rsid w:val="00A511E8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4081E"/>
    <w:rsid w:val="00C43EF7"/>
    <w:rsid w:val="00C44366"/>
    <w:rsid w:val="00C45B3D"/>
    <w:rsid w:val="00C4626F"/>
    <w:rsid w:val="00C74A20"/>
    <w:rsid w:val="00C75400"/>
    <w:rsid w:val="00CA58AA"/>
    <w:rsid w:val="00CB2696"/>
    <w:rsid w:val="00CB5D53"/>
    <w:rsid w:val="00CB77E0"/>
    <w:rsid w:val="00CC01C4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16530"/>
    <w:rsid w:val="00E16F38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0844"/>
    <w:rsid w:val="00EA7E42"/>
    <w:rsid w:val="00EB06AD"/>
    <w:rsid w:val="00EB3A6F"/>
    <w:rsid w:val="00ED5D84"/>
    <w:rsid w:val="00EF25B2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C0F6B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4529F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3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B1957-C57B-4C52-A8C4-5E279D781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24</Pages>
  <Words>6856</Words>
  <Characters>39082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204</cp:revision>
  <cp:lastPrinted>2024-11-18T03:27:00Z</cp:lastPrinted>
  <dcterms:created xsi:type="dcterms:W3CDTF">2019-11-07T03:13:00Z</dcterms:created>
  <dcterms:modified xsi:type="dcterms:W3CDTF">2025-01-14T11:31:00Z</dcterms:modified>
</cp:coreProperties>
</file>