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17106B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r w:rsidR="009846D8">
        <w:rPr>
          <w:rFonts w:ascii="Times New Roman" w:hAnsi="Times New Roman"/>
          <w:sz w:val="28"/>
          <w:szCs w:val="28"/>
        </w:rPr>
        <w:t>г.</w:t>
      </w:r>
      <w:r w:rsidR="00AA4CFF">
        <w:rPr>
          <w:rFonts w:ascii="Times New Roman" w:hAnsi="Times New Roman"/>
          <w:sz w:val="28"/>
          <w:szCs w:val="28"/>
        </w:rPr>
        <w:t xml:space="preserve">, № </w:t>
      </w:r>
      <w:r w:rsidR="00A3688C">
        <w:rPr>
          <w:rFonts w:ascii="Times New Roman" w:hAnsi="Times New Roman"/>
          <w:sz w:val="28"/>
          <w:szCs w:val="28"/>
        </w:rPr>
        <w:t>133</w:t>
      </w:r>
      <w:r w:rsidR="00AA4CFF">
        <w:rPr>
          <w:rFonts w:ascii="Times New Roman" w:hAnsi="Times New Roman"/>
          <w:sz w:val="28"/>
          <w:szCs w:val="28"/>
        </w:rPr>
        <w:t xml:space="preserve">-п от </w:t>
      </w:r>
      <w:r w:rsidR="00A3688C">
        <w:rPr>
          <w:rFonts w:ascii="Times New Roman" w:hAnsi="Times New Roman"/>
          <w:sz w:val="28"/>
          <w:szCs w:val="28"/>
        </w:rPr>
        <w:t>24.09.2024</w:t>
      </w:r>
      <w:r w:rsidR="00AA4CFF">
        <w:rPr>
          <w:rFonts w:ascii="Times New Roman" w:hAnsi="Times New Roman"/>
          <w:sz w:val="28"/>
          <w:szCs w:val="28"/>
        </w:rPr>
        <w:t xml:space="preserve"> г.</w:t>
      </w:r>
      <w:r w:rsidR="0017106B">
        <w:rPr>
          <w:rFonts w:ascii="Times New Roman" w:hAnsi="Times New Roman"/>
          <w:sz w:val="28"/>
          <w:szCs w:val="28"/>
        </w:rPr>
        <w:t xml:space="preserve">, </w:t>
      </w:r>
    </w:p>
    <w:p w:rsidR="00C24B45" w:rsidRDefault="0017106B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AF1C3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AF1C34">
        <w:rPr>
          <w:rFonts w:ascii="Times New Roman" w:hAnsi="Times New Roman"/>
          <w:sz w:val="28"/>
          <w:szCs w:val="28"/>
        </w:rPr>
        <w:t>14.10.</w:t>
      </w:r>
      <w:r>
        <w:rPr>
          <w:rFonts w:ascii="Times New Roman" w:hAnsi="Times New Roman"/>
          <w:sz w:val="28"/>
          <w:szCs w:val="28"/>
        </w:rPr>
        <w:t>2024 г.</w:t>
      </w:r>
      <w:r w:rsidR="00103672">
        <w:rPr>
          <w:rFonts w:ascii="Times New Roman" w:hAnsi="Times New Roman"/>
          <w:sz w:val="28"/>
          <w:szCs w:val="28"/>
        </w:rPr>
        <w:t>, №</w:t>
      </w:r>
      <w:r w:rsidR="005C2A2F">
        <w:rPr>
          <w:rFonts w:ascii="Times New Roman" w:hAnsi="Times New Roman"/>
          <w:sz w:val="28"/>
          <w:szCs w:val="28"/>
        </w:rPr>
        <w:t xml:space="preserve"> 162-п от 18.11.2024 г.</w:t>
      </w:r>
      <w:r w:rsidR="00603737">
        <w:rPr>
          <w:rFonts w:ascii="Times New Roman" w:hAnsi="Times New Roman"/>
          <w:sz w:val="28"/>
          <w:szCs w:val="28"/>
        </w:rPr>
        <w:t>, № 187-п от 28.12.2024 г.</w:t>
      </w:r>
      <w:r w:rsidR="00C24B45">
        <w:rPr>
          <w:rFonts w:ascii="Times New Roman" w:hAnsi="Times New Roman"/>
          <w:sz w:val="28"/>
          <w:szCs w:val="28"/>
        </w:rPr>
        <w:t>,</w:t>
      </w:r>
    </w:p>
    <w:p w:rsidR="00D83E48" w:rsidRDefault="00C24B45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187-п от 28.12.2024 г.</w:t>
      </w:r>
      <w:r w:rsidR="00E94EE1">
        <w:rPr>
          <w:rFonts w:ascii="Times New Roman" w:hAnsi="Times New Roman"/>
          <w:sz w:val="28"/>
          <w:szCs w:val="28"/>
        </w:rPr>
        <w:t>, № __-п от ______г.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комплекса, газификации и жизнеобеспечения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C24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C24B45">
              <w:rPr>
                <w:rFonts w:ascii="Times New Roman" w:hAnsi="Times New Roman"/>
                <w:sz w:val="28"/>
                <w:szCs w:val="28"/>
              </w:rPr>
              <w:t>7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осуществление эффективного муниципального управления, управление общественными финансами и имуществом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E94EE1">
              <w:rPr>
                <w:rFonts w:ascii="Times New Roman" w:hAnsi="Times New Roman"/>
                <w:sz w:val="28"/>
                <w:szCs w:val="28"/>
              </w:rPr>
              <w:t>936778,2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129810,6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160767,7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Default="00FF760C" w:rsidP="00C24B4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86217,2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C24B45" w:rsidRPr="00264A19" w:rsidRDefault="00C24B45" w:rsidP="00C24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76456,7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исло обращений социальных 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замененных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культуры 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 граждан, привлеченных к общественным работам в Шербакульском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долговой нагрузки на бюджет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удельный вес рассмотренных протоколов по делам несовершеннолетних и защите их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области;</w:t>
            </w:r>
          </w:p>
          <w:p w:rsidR="00877310" w:rsidRPr="001B3462" w:rsidRDefault="00877310" w:rsidP="00877310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877310">
              <w:rPr>
                <w:rFonts w:ascii="Times New Roman" w:eastAsiaTheme="minorHAnsi" w:hAnsi="Times New Roman"/>
                <w:sz w:val="28"/>
                <w:szCs w:val="28"/>
              </w:rPr>
              <w:t>существление первичных мер пожарной безопасности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мест (площадок) 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lastRenderedPageBreak/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lastRenderedPageBreak/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C24B45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C24B45">
        <w:rPr>
          <w:rFonts w:ascii="Times New Roman" w:hAnsi="Times New Roman"/>
          <w:sz w:val="28"/>
          <w:szCs w:val="28"/>
        </w:rPr>
        <w:t>7</w:t>
      </w:r>
      <w:r w:rsidRPr="00264A19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94EE1">
        <w:rPr>
          <w:rFonts w:ascii="Times New Roman" w:hAnsi="Times New Roman"/>
          <w:sz w:val="28"/>
          <w:szCs w:val="28"/>
        </w:rPr>
        <w:t>936778,2</w:t>
      </w:r>
      <w:r w:rsidRPr="00264A19">
        <w:rPr>
          <w:rFonts w:ascii="Times New Roman" w:hAnsi="Times New Roman"/>
          <w:sz w:val="28"/>
          <w:szCs w:val="28"/>
        </w:rPr>
        <w:t xml:space="preserve"> по годам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="009552F2" w:rsidRPr="00264A19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508774,2</w:t>
      </w:r>
      <w:r w:rsidR="009552F2" w:rsidRPr="00264A19">
        <w:rPr>
          <w:rFonts w:ascii="Times New Roman" w:hAnsi="Times New Roman"/>
          <w:sz w:val="28"/>
          <w:szCs w:val="28"/>
        </w:rPr>
        <w:t xml:space="preserve"> тыс. рублей)</w:t>
      </w:r>
      <w:r w:rsidRPr="00264A19">
        <w:rPr>
          <w:rFonts w:ascii="Times New Roman" w:hAnsi="Times New Roman"/>
          <w:sz w:val="28"/>
          <w:szCs w:val="28"/>
        </w:rPr>
        <w:t>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- 2024 год – </w:t>
      </w:r>
      <w:r w:rsidR="00C24B45">
        <w:rPr>
          <w:rFonts w:ascii="Times New Roman" w:hAnsi="Times New Roman"/>
          <w:sz w:val="28"/>
          <w:szCs w:val="28"/>
        </w:rPr>
        <w:t>129810,6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24B45">
        <w:rPr>
          <w:rFonts w:ascii="Times New Roman" w:hAnsi="Times New Roman"/>
          <w:sz w:val="28"/>
          <w:szCs w:val="28"/>
        </w:rPr>
        <w:t>81702,7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- 2025 год – </w:t>
      </w:r>
      <w:r w:rsidR="00E94EE1">
        <w:rPr>
          <w:rFonts w:ascii="Times New Roman" w:hAnsi="Times New Roman"/>
          <w:sz w:val="28"/>
          <w:szCs w:val="28"/>
        </w:rPr>
        <w:t>160767,7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101916,9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E94EE1">
        <w:rPr>
          <w:rFonts w:ascii="Times New Roman" w:hAnsi="Times New Roman"/>
          <w:sz w:val="28"/>
          <w:szCs w:val="28"/>
        </w:rPr>
        <w:t>86217,2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53376,3</w:t>
      </w:r>
      <w:r w:rsidR="00C24B45">
        <w:rPr>
          <w:rFonts w:ascii="Times New Roman" w:hAnsi="Times New Roman"/>
          <w:sz w:val="28"/>
          <w:szCs w:val="28"/>
        </w:rPr>
        <w:t xml:space="preserve"> тыс. рублей);</w:t>
      </w:r>
    </w:p>
    <w:p w:rsidR="00C24B45" w:rsidRDefault="00C24B45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</w:t>
      </w:r>
      <w:r w:rsidR="00E94EE1">
        <w:rPr>
          <w:rFonts w:ascii="Times New Roman" w:hAnsi="Times New Roman"/>
          <w:sz w:val="28"/>
          <w:szCs w:val="28"/>
        </w:rPr>
        <w:t>76456,7</w:t>
      </w:r>
      <w:r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44673,3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A72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A72D7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A72D78">
              <w:rPr>
                <w:rFonts w:ascii="Times New Roman" w:hAnsi="Times New Roman"/>
                <w:sz w:val="28"/>
                <w:szCs w:val="28"/>
              </w:rPr>
              <w:t>1414,9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136,5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Default="001C3524" w:rsidP="00A72D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A72D78" w:rsidRPr="000C556E" w:rsidRDefault="00A72D78" w:rsidP="00A72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55,0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 xml:space="preserve"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</w:t>
      </w:r>
      <w:r w:rsidRPr="007A0E4E">
        <w:rPr>
          <w:rFonts w:ascii="Times New Roman" w:hAnsi="Times New Roman"/>
          <w:sz w:val="28"/>
          <w:szCs w:val="28"/>
        </w:rPr>
        <w:lastRenderedPageBreak/>
        <w:t>занятых у субъектов малого и среднего предпринимательства свыше 1700 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</w:t>
      </w:r>
      <w:r w:rsidRPr="00FF6CC7">
        <w:rPr>
          <w:rFonts w:ascii="Times New Roman" w:hAnsi="Times New Roman"/>
          <w:sz w:val="28"/>
          <w:szCs w:val="28"/>
        </w:rPr>
        <w:lastRenderedPageBreak/>
        <w:t>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A72D78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A72D78" w:rsidRDefault="00A72D78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A72D78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A72D78">
        <w:rPr>
          <w:rFonts w:ascii="Times New Roman" w:hAnsi="Times New Roman"/>
          <w:sz w:val="28"/>
          <w:szCs w:val="28"/>
        </w:rPr>
        <w:t>1414,9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678,6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A72D78">
        <w:rPr>
          <w:rFonts w:ascii="Times New Roman" w:hAnsi="Times New Roman"/>
          <w:sz w:val="28"/>
          <w:szCs w:val="28"/>
        </w:rPr>
        <w:t>136,5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136,5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A72D78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A72D78">
        <w:rPr>
          <w:rFonts w:ascii="Times New Roman" w:hAnsi="Times New Roman"/>
          <w:sz w:val="28"/>
          <w:szCs w:val="28"/>
        </w:rPr>
        <w:t>5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5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A72D78">
        <w:rPr>
          <w:rFonts w:ascii="Times New Roman" w:hAnsi="Times New Roman"/>
          <w:sz w:val="28"/>
          <w:szCs w:val="28"/>
        </w:rPr>
        <w:t>тыс. рублей);</w:t>
      </w:r>
    </w:p>
    <w:p w:rsidR="00A72D78" w:rsidRDefault="00A72D78" w:rsidP="00A72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55,0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55,0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72D78" w:rsidRDefault="00A72D78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B01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0165E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 xml:space="preserve">окращение энергетических издержек экономики Шербакульского муниципального района, а также оптимизация бюджетных </w:t>
            </w:r>
            <w:r w:rsidRPr="00CF1183">
              <w:rPr>
                <w:rFonts w:ascii="Times New Roman" w:hAnsi="Times New Roman"/>
                <w:sz w:val="28"/>
                <w:szCs w:val="28"/>
              </w:rPr>
              <w:lastRenderedPageBreak/>
              <w:t>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повышение энергетической эффективности и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lastRenderedPageBreak/>
              <w:t>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94EE1">
              <w:rPr>
                <w:rFonts w:ascii="Times New Roman" w:hAnsi="Times New Roman"/>
                <w:sz w:val="28"/>
                <w:szCs w:val="28"/>
              </w:rPr>
              <w:t>51317,2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11533,9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24859,0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Default="001C3524" w:rsidP="00B016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215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0165E" w:rsidRPr="000C556E" w:rsidRDefault="00B0165E" w:rsidP="00B01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225,0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</w:t>
      </w:r>
      <w:r w:rsidRPr="007B79CF">
        <w:rPr>
          <w:rFonts w:ascii="Times New Roman" w:hAnsi="Times New Roman"/>
          <w:sz w:val="28"/>
          <w:szCs w:val="28"/>
        </w:rPr>
        <w:lastRenderedPageBreak/>
        <w:t xml:space="preserve">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согласованных с поставщиками. На объекты социальной сферы завезено 559 тонн угля, что составляет 100 процентов от потребности на отопительный сезон 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D16157" w:rsidRDefault="00D16157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D16157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D16157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94EE1">
        <w:rPr>
          <w:rFonts w:ascii="Times New Roman" w:hAnsi="Times New Roman"/>
          <w:sz w:val="28"/>
          <w:szCs w:val="28"/>
        </w:rPr>
        <w:t>51317,2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20044,9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16157">
        <w:rPr>
          <w:rFonts w:ascii="Times New Roman" w:hAnsi="Times New Roman"/>
          <w:sz w:val="28"/>
          <w:szCs w:val="28"/>
        </w:rPr>
        <w:t>11533,9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4135,5</w:t>
      </w:r>
      <w:r w:rsidR="0033433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94EE1">
        <w:rPr>
          <w:rFonts w:ascii="Times New Roman" w:hAnsi="Times New Roman"/>
          <w:sz w:val="28"/>
          <w:szCs w:val="28"/>
        </w:rPr>
        <w:t>24859,0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6388,1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16157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16157">
        <w:rPr>
          <w:rFonts w:ascii="Times New Roman" w:hAnsi="Times New Roman"/>
          <w:sz w:val="28"/>
          <w:szCs w:val="28"/>
        </w:rPr>
        <w:t>215</w:t>
      </w:r>
      <w:r w:rsidR="00993A38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215</w:t>
      </w:r>
      <w:r w:rsidR="00993A38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D16157">
        <w:rPr>
          <w:rFonts w:ascii="Times New Roman" w:hAnsi="Times New Roman"/>
          <w:sz w:val="28"/>
          <w:szCs w:val="28"/>
        </w:rPr>
        <w:t>;</w:t>
      </w:r>
    </w:p>
    <w:p w:rsidR="001C3524" w:rsidRDefault="00D16157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225,0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225,0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D161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D16157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 xml:space="preserve">создание безбарьерной среды для инвалидов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lastRenderedPageBreak/>
              <w:t>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94EE1">
              <w:rPr>
                <w:rFonts w:ascii="Times New Roman" w:hAnsi="Times New Roman"/>
                <w:sz w:val="28"/>
                <w:szCs w:val="28"/>
              </w:rPr>
              <w:t>18432,9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2623,1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2616,1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Default="007D4960" w:rsidP="004C55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2466,1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C551C" w:rsidRPr="000C556E" w:rsidRDefault="004C551C" w:rsidP="004C55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2466,1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lastRenderedPageBreak/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4C551C" w:rsidRDefault="004C551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4C551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4C551C" w:rsidRDefault="004C551C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4C551C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94EE1">
        <w:rPr>
          <w:rFonts w:ascii="Times New Roman" w:hAnsi="Times New Roman"/>
          <w:sz w:val="28"/>
          <w:szCs w:val="28"/>
        </w:rPr>
        <w:t>18432,9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17956,8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4C551C">
        <w:rPr>
          <w:rFonts w:ascii="Times New Roman" w:hAnsi="Times New Roman"/>
          <w:sz w:val="28"/>
          <w:szCs w:val="28"/>
        </w:rPr>
        <w:t>2623,1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2478,2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94EE1">
        <w:rPr>
          <w:rFonts w:ascii="Times New Roman" w:hAnsi="Times New Roman"/>
          <w:sz w:val="28"/>
          <w:szCs w:val="28"/>
        </w:rPr>
        <w:t>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C551C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4C551C">
        <w:rPr>
          <w:rFonts w:ascii="Times New Roman" w:hAnsi="Times New Roman"/>
          <w:sz w:val="28"/>
          <w:szCs w:val="28"/>
        </w:rPr>
        <w:t>2466,1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4C551C">
        <w:rPr>
          <w:rFonts w:ascii="Times New Roman" w:hAnsi="Times New Roman"/>
          <w:sz w:val="28"/>
          <w:szCs w:val="28"/>
        </w:rPr>
        <w:t>;</w:t>
      </w:r>
    </w:p>
    <w:p w:rsidR="001C3524" w:rsidRDefault="004C551C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2466,1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Управление по делам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94EE1">
              <w:rPr>
                <w:rFonts w:ascii="Times New Roman" w:hAnsi="Times New Roman"/>
                <w:sz w:val="28"/>
                <w:szCs w:val="28"/>
              </w:rPr>
              <w:t>745601,5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115267,1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130637,6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Default="00CD4B67" w:rsidP="00B41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82981,1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41FC4" w:rsidRPr="000C556E" w:rsidRDefault="00B41FC4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73210,6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</w:t>
      </w:r>
      <w:r w:rsidRPr="000C556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 xml:space="preserve">ажной сферой в оптимизации деятельности публично–правовых </w:t>
      </w:r>
      <w:r w:rsidR="00A6685C" w:rsidRPr="000C556E">
        <w:rPr>
          <w:rFonts w:ascii="Times New Roman" w:hAnsi="Times New Roman"/>
          <w:sz w:val="28"/>
          <w:szCs w:val="28"/>
        </w:rPr>
        <w:lastRenderedPageBreak/>
        <w:t>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41FC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B41FC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94EE1">
        <w:rPr>
          <w:rFonts w:ascii="Times New Roman" w:hAnsi="Times New Roman"/>
          <w:sz w:val="28"/>
          <w:szCs w:val="28"/>
        </w:rPr>
        <w:t>745601,5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460200,0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41FC4">
        <w:rPr>
          <w:rFonts w:ascii="Times New Roman" w:hAnsi="Times New Roman"/>
          <w:sz w:val="28"/>
          <w:szCs w:val="28"/>
        </w:rPr>
        <w:t>115267,1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74702,5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94EE1">
        <w:rPr>
          <w:rFonts w:ascii="Times New Roman" w:hAnsi="Times New Roman"/>
          <w:sz w:val="28"/>
          <w:szCs w:val="28"/>
        </w:rPr>
        <w:t>130637,6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4EE1">
        <w:rPr>
          <w:rFonts w:ascii="Times New Roman" w:hAnsi="Times New Roman"/>
          <w:sz w:val="28"/>
          <w:szCs w:val="28"/>
        </w:rPr>
        <w:t>90455,7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41FC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94EE1">
        <w:rPr>
          <w:rFonts w:ascii="Times New Roman" w:hAnsi="Times New Roman"/>
          <w:sz w:val="28"/>
          <w:szCs w:val="28"/>
        </w:rPr>
        <w:t>82981,1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50188,3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41FC4">
        <w:rPr>
          <w:rFonts w:ascii="Times New Roman" w:hAnsi="Times New Roman"/>
          <w:sz w:val="28"/>
          <w:szCs w:val="28"/>
        </w:rPr>
        <w:t>;</w:t>
      </w:r>
    </w:p>
    <w:p w:rsidR="001C3524" w:rsidRDefault="00B41FC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E94EE1">
        <w:rPr>
          <w:rFonts w:ascii="Times New Roman" w:hAnsi="Times New Roman"/>
          <w:sz w:val="28"/>
          <w:szCs w:val="28"/>
        </w:rPr>
        <w:t>73210,6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41475,3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B41FC4" w:rsidRDefault="00B41FC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соисполнителя </w:t>
            </w:r>
            <w:r w:rsidRPr="005F11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lastRenderedPageBreak/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B41FC4">
              <w:rPr>
                <w:rFonts w:ascii="Times New Roman" w:hAnsi="Times New Roman"/>
                <w:sz w:val="28"/>
                <w:szCs w:val="28"/>
              </w:rPr>
              <w:t>7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>улучшение жилищных условий сельского населения в Шербакульском муниципальном 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94EE1">
              <w:rPr>
                <w:rFonts w:ascii="Times New Roman" w:hAnsi="Times New Roman"/>
                <w:sz w:val="28"/>
                <w:szCs w:val="28"/>
              </w:rPr>
              <w:t>118061,5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E94EE1">
              <w:rPr>
                <w:rFonts w:ascii="Times New Roman" w:hAnsi="Times New Roman"/>
                <w:color w:val="000000"/>
                <w:sz w:val="28"/>
                <w:szCs w:val="28"/>
              </w:rPr>
              <w:t>210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41FC4" w:rsidRPr="00264E75" w:rsidRDefault="00B41FC4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</w:t>
      </w:r>
      <w:r w:rsidR="009143AD" w:rsidRPr="00F52A50">
        <w:rPr>
          <w:rStyle w:val="FontStyle12"/>
          <w:sz w:val="28"/>
          <w:szCs w:val="28"/>
        </w:rPr>
        <w:lastRenderedPageBreak/>
        <w:t>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</w:t>
      </w:r>
      <w:r w:rsidR="006A63DB">
        <w:rPr>
          <w:rFonts w:ascii="Times New Roman" w:hAnsi="Times New Roman"/>
          <w:sz w:val="28"/>
          <w:szCs w:val="28"/>
        </w:rPr>
        <w:lastRenderedPageBreak/>
        <w:t>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2D146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D1464" w:rsidRDefault="002D1464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A1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</w:t>
      </w:r>
      <w:r w:rsidR="002D1464"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94EE1">
        <w:rPr>
          <w:rFonts w:ascii="Times New Roman" w:hAnsi="Times New Roman"/>
          <w:sz w:val="28"/>
          <w:szCs w:val="28"/>
        </w:rPr>
        <w:t>118061,5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377A">
        <w:rPr>
          <w:rFonts w:ascii="Times New Roman" w:hAnsi="Times New Roman"/>
          <w:sz w:val="28"/>
          <w:szCs w:val="28"/>
        </w:rPr>
        <w:t>7943,8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E9377A">
        <w:rPr>
          <w:rFonts w:ascii="Times New Roman" w:hAnsi="Times New Roman"/>
          <w:sz w:val="28"/>
          <w:szCs w:val="28"/>
        </w:rPr>
        <w:t>210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9377A">
        <w:rPr>
          <w:rFonts w:ascii="Times New Roman" w:hAnsi="Times New Roman"/>
          <w:sz w:val="28"/>
          <w:szCs w:val="28"/>
        </w:rPr>
        <w:t>210</w:t>
      </w:r>
      <w:bookmarkStart w:id="0" w:name="_GoBack"/>
      <w:bookmarkEnd w:id="0"/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2D1464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2D1464">
        <w:rPr>
          <w:rFonts w:ascii="Times New Roman" w:hAnsi="Times New Roman"/>
          <w:sz w:val="28"/>
          <w:szCs w:val="28"/>
        </w:rPr>
        <w:t>;</w:t>
      </w:r>
    </w:p>
    <w:p w:rsidR="00A852F8" w:rsidRDefault="002D1464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A852F8" w:rsidRPr="00720F5F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970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</w:t>
            </w:r>
            <w:r w:rsidR="0097054B">
              <w:rPr>
                <w:rFonts w:ascii="Times New Roman" w:hAnsi="Times New Roman"/>
                <w:sz w:val="28"/>
                <w:szCs w:val="28"/>
              </w:rPr>
              <w:t>7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7054B">
              <w:rPr>
                <w:rFonts w:ascii="Times New Roman" w:hAnsi="Times New Roman"/>
                <w:sz w:val="28"/>
                <w:szCs w:val="28"/>
              </w:rPr>
              <w:t>1950,0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97054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7054B" w:rsidRPr="00264E75" w:rsidRDefault="0097054B" w:rsidP="00970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lastRenderedPageBreak/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региональная общественная организация по 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40A2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</w:t>
      </w:r>
      <w:r w:rsidR="00F40A24"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F25FE">
        <w:rPr>
          <w:rFonts w:ascii="Times New Roman" w:hAnsi="Times New Roman"/>
          <w:sz w:val="28"/>
          <w:szCs w:val="28"/>
        </w:rPr>
        <w:t>1950,0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1</w:t>
      </w:r>
      <w:r w:rsidR="007F25FE">
        <w:rPr>
          <w:rFonts w:ascii="Times New Roman" w:hAnsi="Times New Roman"/>
          <w:sz w:val="28"/>
          <w:szCs w:val="28"/>
        </w:rPr>
        <w:t>9</w:t>
      </w:r>
      <w:r w:rsidR="005956D7">
        <w:rPr>
          <w:rFonts w:ascii="Times New Roman" w:hAnsi="Times New Roman"/>
          <w:sz w:val="28"/>
          <w:szCs w:val="28"/>
        </w:rPr>
        <w:t>50</w:t>
      </w:r>
      <w:r w:rsidR="008E6227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7F25F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7F25FE">
        <w:rPr>
          <w:rFonts w:ascii="Times New Roman" w:hAnsi="Times New Roman"/>
          <w:sz w:val="28"/>
          <w:szCs w:val="28"/>
        </w:rPr>
        <w:t>;</w:t>
      </w:r>
    </w:p>
    <w:p w:rsidR="00C760AC" w:rsidRDefault="007F25FE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lastRenderedPageBreak/>
        <w:t>- 202</w:t>
      </w:r>
      <w:r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C760AC" w:rsidRPr="00720F5F">
        <w:rPr>
          <w:rFonts w:ascii="Times New Roman" w:hAnsi="Times New Roman"/>
          <w:sz w:val="28"/>
          <w:szCs w:val="28"/>
        </w:rPr>
        <w:t>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A7577"/>
    <w:rsid w:val="000B110A"/>
    <w:rsid w:val="000B17D5"/>
    <w:rsid w:val="000B658E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03672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106B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36B09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86032"/>
    <w:rsid w:val="00291FEA"/>
    <w:rsid w:val="00293B5B"/>
    <w:rsid w:val="002B3B5B"/>
    <w:rsid w:val="002D1464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33E"/>
    <w:rsid w:val="003346AB"/>
    <w:rsid w:val="003359D4"/>
    <w:rsid w:val="00342E12"/>
    <w:rsid w:val="00344822"/>
    <w:rsid w:val="00346996"/>
    <w:rsid w:val="00353E29"/>
    <w:rsid w:val="0036688C"/>
    <w:rsid w:val="003702E4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19D"/>
    <w:rsid w:val="004A1963"/>
    <w:rsid w:val="004B2DC1"/>
    <w:rsid w:val="004C551C"/>
    <w:rsid w:val="004D154F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956D7"/>
    <w:rsid w:val="005A64A9"/>
    <w:rsid w:val="005C2A2F"/>
    <w:rsid w:val="005E1BEE"/>
    <w:rsid w:val="005E2089"/>
    <w:rsid w:val="005E668A"/>
    <w:rsid w:val="005F1119"/>
    <w:rsid w:val="005F3F8D"/>
    <w:rsid w:val="0060228A"/>
    <w:rsid w:val="00603737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7F25FE"/>
    <w:rsid w:val="00802E3A"/>
    <w:rsid w:val="00803C99"/>
    <w:rsid w:val="008065A4"/>
    <w:rsid w:val="00810FBD"/>
    <w:rsid w:val="00813485"/>
    <w:rsid w:val="008204CB"/>
    <w:rsid w:val="00821982"/>
    <w:rsid w:val="00851BB6"/>
    <w:rsid w:val="00855E61"/>
    <w:rsid w:val="0086600D"/>
    <w:rsid w:val="008666BD"/>
    <w:rsid w:val="0087229F"/>
    <w:rsid w:val="00877310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52F2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054B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3688C"/>
    <w:rsid w:val="00A50194"/>
    <w:rsid w:val="00A56BD1"/>
    <w:rsid w:val="00A63F8F"/>
    <w:rsid w:val="00A6685C"/>
    <w:rsid w:val="00A72D78"/>
    <w:rsid w:val="00A75663"/>
    <w:rsid w:val="00A75C86"/>
    <w:rsid w:val="00A770BC"/>
    <w:rsid w:val="00A83F95"/>
    <w:rsid w:val="00A852F8"/>
    <w:rsid w:val="00A853A0"/>
    <w:rsid w:val="00AA4CFF"/>
    <w:rsid w:val="00AB579F"/>
    <w:rsid w:val="00AB7035"/>
    <w:rsid w:val="00AC11D4"/>
    <w:rsid w:val="00AC60B0"/>
    <w:rsid w:val="00AD1D1F"/>
    <w:rsid w:val="00AE02D5"/>
    <w:rsid w:val="00AE2CCC"/>
    <w:rsid w:val="00AE63DD"/>
    <w:rsid w:val="00AF1C34"/>
    <w:rsid w:val="00B0165E"/>
    <w:rsid w:val="00B06371"/>
    <w:rsid w:val="00B0749B"/>
    <w:rsid w:val="00B11E92"/>
    <w:rsid w:val="00B12A14"/>
    <w:rsid w:val="00B41FC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C5BFC"/>
    <w:rsid w:val="00BD0C1B"/>
    <w:rsid w:val="00BD1FA6"/>
    <w:rsid w:val="00BE0393"/>
    <w:rsid w:val="00BF246D"/>
    <w:rsid w:val="00BF3FC8"/>
    <w:rsid w:val="00BF6B79"/>
    <w:rsid w:val="00C021AE"/>
    <w:rsid w:val="00C21150"/>
    <w:rsid w:val="00C24260"/>
    <w:rsid w:val="00C24B45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15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77A"/>
    <w:rsid w:val="00E93C4D"/>
    <w:rsid w:val="00E94EE1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EF3A85"/>
    <w:rsid w:val="00F00821"/>
    <w:rsid w:val="00F0110D"/>
    <w:rsid w:val="00F05680"/>
    <w:rsid w:val="00F07768"/>
    <w:rsid w:val="00F20059"/>
    <w:rsid w:val="00F35E52"/>
    <w:rsid w:val="00F40A24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1089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44A79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AE53F-1333-43DD-9901-C9B7B40ED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43</Pages>
  <Words>13146</Words>
  <Characters>74933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84</cp:revision>
  <cp:lastPrinted>2024-11-18T03:35:00Z</cp:lastPrinted>
  <dcterms:created xsi:type="dcterms:W3CDTF">2023-04-12T08:20:00Z</dcterms:created>
  <dcterms:modified xsi:type="dcterms:W3CDTF">2025-03-11T11:16:00Z</dcterms:modified>
</cp:coreProperties>
</file>