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8363A5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 xml:space="preserve">азвитие </w:t>
            </w:r>
            <w:proofErr w:type="spellStart"/>
            <w:r w:rsidR="00353C64" w:rsidRPr="00E733C0">
              <w:rPr>
                <w:rFonts w:ascii="Times New Roman" w:hAnsi="Times New Roman"/>
                <w:sz w:val="28"/>
                <w:szCs w:val="28"/>
              </w:rPr>
              <w:t>подотраслей</w:t>
            </w:r>
            <w:proofErr w:type="spellEnd"/>
            <w:r w:rsidR="00353C64" w:rsidRPr="00E733C0">
              <w:rPr>
                <w:rFonts w:ascii="Times New Roman" w:hAnsi="Times New Roman"/>
                <w:sz w:val="28"/>
                <w:szCs w:val="28"/>
              </w:rPr>
              <w:t xml:space="preserve">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 xml:space="preserve">оддержка сельскохозяйственной 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spellStart"/>
            <w:r w:rsidRPr="00E733C0">
              <w:rPr>
                <w:rFonts w:ascii="Times New Roman" w:hAnsi="Times New Roman"/>
                <w:sz w:val="28"/>
                <w:szCs w:val="28"/>
              </w:rPr>
              <w:t>подотраслей</w:t>
            </w:r>
            <w:proofErr w:type="spellEnd"/>
            <w:r w:rsidRPr="00E733C0">
              <w:rPr>
                <w:rFonts w:ascii="Times New Roman" w:hAnsi="Times New Roman"/>
                <w:sz w:val="28"/>
                <w:szCs w:val="28"/>
              </w:rPr>
              <w:t xml:space="preserve">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1F290E">
              <w:rPr>
                <w:rFonts w:ascii="Times New Roman" w:hAnsi="Times New Roman"/>
                <w:sz w:val="28"/>
                <w:szCs w:val="28"/>
              </w:rPr>
              <w:t>60414,6</w:t>
            </w:r>
            <w:bookmarkStart w:id="0" w:name="_GoBack"/>
            <w:bookmarkEnd w:id="0"/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7B5F">
              <w:rPr>
                <w:rFonts w:ascii="Times New Roman" w:hAnsi="Times New Roman"/>
                <w:color w:val="000000"/>
                <w:sz w:val="28"/>
                <w:szCs w:val="28"/>
              </w:rPr>
              <w:t>9792,0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5076,3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5022,1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руководителей и специалистов рабочих массовых профессий АПК Шербакульского муниципального района Омской области, прошедших  профессиональную переподготовку и (или) повышение квалификации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 xml:space="preserve">ост среднемесячной заработной платы </w:t>
            </w:r>
            <w:r w:rsidRPr="00C45B3D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lastRenderedPageBreak/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</w:t>
      </w:r>
      <w:r w:rsidR="00F52A50" w:rsidRPr="00F52A50">
        <w:rPr>
          <w:rFonts w:ascii="Times New Roman" w:hAnsi="Times New Roman"/>
          <w:sz w:val="28"/>
          <w:szCs w:val="28"/>
        </w:rPr>
        <w:lastRenderedPageBreak/>
        <w:t xml:space="preserve">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 xml:space="preserve">азвитие </w:t>
      </w:r>
      <w:proofErr w:type="spellStart"/>
      <w:r w:rsidRPr="00E733C0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E733C0">
        <w:rPr>
          <w:rFonts w:ascii="Times New Roman" w:hAnsi="Times New Roman"/>
          <w:sz w:val="28"/>
          <w:szCs w:val="28"/>
        </w:rPr>
        <w:t xml:space="preserve">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C87B5F">
        <w:rPr>
          <w:rFonts w:ascii="Times New Roman" w:hAnsi="Times New Roman"/>
          <w:sz w:val="28"/>
          <w:szCs w:val="28"/>
        </w:rPr>
        <w:t>60414,6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33854,5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87B5F">
        <w:rPr>
          <w:rFonts w:ascii="Times New Roman" w:hAnsi="Times New Roman"/>
          <w:sz w:val="28"/>
          <w:szCs w:val="28"/>
        </w:rPr>
        <w:t>9792,0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7005,5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5076,3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5022,1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 w:rsidR="00BE16E8" w:rsidRPr="00BE16E8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="00BE16E8" w:rsidRPr="00BE16E8">
        <w:rPr>
          <w:rFonts w:ascii="Times New Roman" w:hAnsi="Times New Roman"/>
          <w:sz w:val="28"/>
          <w:szCs w:val="28"/>
        </w:rPr>
        <w:t xml:space="preserve">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spellStart"/>
            <w:r w:rsidRPr="00937FF2">
              <w:rPr>
                <w:rFonts w:ascii="Times New Roman" w:hAnsi="Times New Roman"/>
                <w:sz w:val="28"/>
                <w:szCs w:val="28"/>
              </w:rPr>
              <w:t>подотраслей</w:t>
            </w:r>
            <w:proofErr w:type="spellEnd"/>
            <w:r w:rsidRPr="00937FF2">
              <w:rPr>
                <w:rFonts w:ascii="Times New Roman" w:hAnsi="Times New Roman"/>
                <w:sz w:val="28"/>
                <w:szCs w:val="28"/>
              </w:rPr>
              <w:t xml:space="preserve">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87B5F">
              <w:rPr>
                <w:rFonts w:ascii="Times New Roman" w:hAnsi="Times New Roman"/>
                <w:sz w:val="28"/>
                <w:szCs w:val="28"/>
              </w:rPr>
              <w:t>2815,6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81C2F">
              <w:rPr>
                <w:rFonts w:ascii="Times New Roman" w:hAnsi="Times New Roman"/>
                <w:color w:val="000000"/>
                <w:sz w:val="28"/>
                <w:szCs w:val="28"/>
              </w:rPr>
              <w:t>51,3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437,1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437,1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lastRenderedPageBreak/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0D0462">
        <w:rPr>
          <w:rFonts w:ascii="Times New Roman" w:hAnsi="Times New Roman"/>
          <w:sz w:val="28"/>
          <w:szCs w:val="28"/>
        </w:rPr>
        <w:t>2</w:t>
      </w:r>
      <w:r w:rsidR="00881C2F">
        <w:rPr>
          <w:rFonts w:ascii="Times New Roman" w:hAnsi="Times New Roman"/>
          <w:sz w:val="28"/>
          <w:szCs w:val="28"/>
        </w:rPr>
        <w:t>815</w:t>
      </w:r>
      <w:r w:rsidR="000D0462">
        <w:rPr>
          <w:rFonts w:ascii="Times New Roman" w:hAnsi="Times New Roman"/>
          <w:sz w:val="28"/>
          <w:szCs w:val="28"/>
        </w:rPr>
        <w:t>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26</w:t>
      </w:r>
      <w:r w:rsidR="00881C2F">
        <w:rPr>
          <w:rFonts w:ascii="Times New Roman" w:hAnsi="Times New Roman"/>
          <w:sz w:val="28"/>
          <w:szCs w:val="28"/>
        </w:rPr>
        <w:t>0</w:t>
      </w:r>
      <w:r w:rsidR="000D0462">
        <w:rPr>
          <w:rFonts w:ascii="Times New Roman" w:hAnsi="Times New Roman"/>
          <w:sz w:val="28"/>
          <w:szCs w:val="28"/>
        </w:rPr>
        <w:t>0,3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81C2F">
        <w:rPr>
          <w:rFonts w:ascii="Times New Roman" w:hAnsi="Times New Roman"/>
          <w:sz w:val="28"/>
          <w:szCs w:val="28"/>
        </w:rPr>
        <w:t>51</w:t>
      </w:r>
      <w:r w:rsidR="000D0462">
        <w:rPr>
          <w:rFonts w:ascii="Times New Roman" w:hAnsi="Times New Roman"/>
          <w:sz w:val="28"/>
          <w:szCs w:val="28"/>
        </w:rPr>
        <w:t>,3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</w:t>
      </w:r>
      <w:r w:rsidR="000D0462">
        <w:rPr>
          <w:rFonts w:ascii="Times New Roman" w:hAnsi="Times New Roman"/>
          <w:sz w:val="28"/>
          <w:szCs w:val="28"/>
        </w:rPr>
        <w:t xml:space="preserve">1,3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437,1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437,1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437,1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437,1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муниципального района Омской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сельского хозяйства и регулирование рынков сельскохозяйственной продукции, сырья и продовольствия Шербакульского </w:t>
            </w:r>
            <w:r w:rsidRPr="00E733C0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87B5F">
              <w:rPr>
                <w:rFonts w:ascii="Times New Roman" w:hAnsi="Times New Roman"/>
                <w:sz w:val="28"/>
                <w:szCs w:val="28"/>
              </w:rPr>
              <w:t>19889,8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7B5F">
              <w:rPr>
                <w:rFonts w:ascii="Times New Roman" w:hAnsi="Times New Roman"/>
                <w:color w:val="000000"/>
                <w:sz w:val="28"/>
                <w:szCs w:val="28"/>
              </w:rPr>
              <w:t>1654,1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762D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99774A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99774A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87B5F">
        <w:rPr>
          <w:rFonts w:ascii="Times New Roman" w:hAnsi="Times New Roman"/>
          <w:sz w:val="28"/>
          <w:szCs w:val="28"/>
        </w:rPr>
        <w:t>19889,8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232</w:t>
      </w:r>
      <w:r w:rsidR="000D0462">
        <w:rPr>
          <w:rFonts w:ascii="Times New Roman" w:hAnsi="Times New Roman"/>
          <w:sz w:val="28"/>
          <w:szCs w:val="28"/>
        </w:rPr>
        <w:t>,2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87B5F">
        <w:rPr>
          <w:rFonts w:ascii="Times New Roman" w:hAnsi="Times New Roman"/>
          <w:sz w:val="28"/>
          <w:szCs w:val="28"/>
        </w:rPr>
        <w:t>1654,1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2762D3">
        <w:rPr>
          <w:rFonts w:ascii="Times New Roman" w:hAnsi="Times New Roman"/>
          <w:sz w:val="28"/>
          <w:szCs w:val="28"/>
        </w:rPr>
        <w:t>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762D3">
        <w:rPr>
          <w:rFonts w:ascii="Times New Roman" w:hAnsi="Times New Roman"/>
          <w:sz w:val="28"/>
          <w:szCs w:val="28"/>
        </w:rPr>
        <w:t>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87B5F">
              <w:rPr>
                <w:rFonts w:ascii="Times New Roman" w:hAnsi="Times New Roman"/>
                <w:sz w:val="28"/>
                <w:szCs w:val="28"/>
              </w:rPr>
              <w:t>32022,0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7B5F">
              <w:rPr>
                <w:rFonts w:ascii="Times New Roman" w:hAnsi="Times New Roman"/>
                <w:color w:val="000000"/>
                <w:sz w:val="28"/>
                <w:szCs w:val="28"/>
              </w:rPr>
              <w:t>6904,2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3575,7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D0462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3575,7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87B5F">
        <w:rPr>
          <w:rFonts w:ascii="Times New Roman" w:hAnsi="Times New Roman"/>
          <w:sz w:val="28"/>
          <w:szCs w:val="28"/>
        </w:rPr>
        <w:t>32022,0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32022,0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87B5F">
        <w:rPr>
          <w:rFonts w:ascii="Times New Roman" w:hAnsi="Times New Roman"/>
          <w:sz w:val="28"/>
          <w:szCs w:val="28"/>
        </w:rPr>
        <w:t>6904,2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6904,2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3575,7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3575,7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3575,7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3575,7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снижения заболеваемости животных заразными болезнями и населения болезнями общими для человека и животных Шербакульского </w:t>
            </w:r>
            <w:r w:rsidRPr="00CC657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0D0462">
              <w:rPr>
                <w:rFonts w:ascii="Times New Roman" w:hAnsi="Times New Roman"/>
                <w:sz w:val="28"/>
                <w:szCs w:val="28"/>
              </w:rPr>
              <w:t>5687,2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0D0462">
        <w:rPr>
          <w:rFonts w:ascii="Times New Roman" w:hAnsi="Times New Roman"/>
          <w:sz w:val="28"/>
          <w:szCs w:val="28"/>
        </w:rPr>
        <w:t>5687,2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D0462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1009,3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6318"/>
    <w:rsid w:val="00244882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9789D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5259E"/>
    <w:rsid w:val="0045366D"/>
    <w:rsid w:val="00462798"/>
    <w:rsid w:val="0046713E"/>
    <w:rsid w:val="00472238"/>
    <w:rsid w:val="004760F7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90E7B"/>
    <w:rsid w:val="007D1C51"/>
    <w:rsid w:val="007F1E58"/>
    <w:rsid w:val="007F53C0"/>
    <w:rsid w:val="00804749"/>
    <w:rsid w:val="00833C9A"/>
    <w:rsid w:val="0083530D"/>
    <w:rsid w:val="008363A5"/>
    <w:rsid w:val="0083734F"/>
    <w:rsid w:val="008629CF"/>
    <w:rsid w:val="00862E0E"/>
    <w:rsid w:val="00881C2F"/>
    <w:rsid w:val="008C67AD"/>
    <w:rsid w:val="008E5023"/>
    <w:rsid w:val="008F4D4E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703A5"/>
    <w:rsid w:val="00D745D6"/>
    <w:rsid w:val="00D978A0"/>
    <w:rsid w:val="00DA4AD1"/>
    <w:rsid w:val="00DB11E0"/>
    <w:rsid w:val="00DC22B4"/>
    <w:rsid w:val="00E06CB2"/>
    <w:rsid w:val="00E16990"/>
    <w:rsid w:val="00E2453A"/>
    <w:rsid w:val="00E25435"/>
    <w:rsid w:val="00E26D14"/>
    <w:rsid w:val="00E55A7D"/>
    <w:rsid w:val="00E718F3"/>
    <w:rsid w:val="00E72490"/>
    <w:rsid w:val="00E733C0"/>
    <w:rsid w:val="00E81AE3"/>
    <w:rsid w:val="00E87DBA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B25F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8FC1A-7748-426E-8A56-1DD0FE05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5755</Words>
  <Characters>32808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142</cp:revision>
  <cp:lastPrinted>2024-04-01T11:50:00Z</cp:lastPrinted>
  <dcterms:created xsi:type="dcterms:W3CDTF">2019-11-07T03:13:00Z</dcterms:created>
  <dcterms:modified xsi:type="dcterms:W3CDTF">2024-04-01T11:50:00Z</dcterms:modified>
</cp:coreProperties>
</file>